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iagrams/colors1.xml" ContentType="application/vnd.openxmlformats-officedocument.drawingml.diagramColors+xml"/>
  <Override PartName="/word/diagrams/colors2.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pPr>
      <w:r>
        <w:drawing>
          <wp:inline distT="0" distB="0" distL="0" distR="0">
            <wp:extent cx="2438400" cy="225742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a:srcRect/>
                    <a:stretch>
                      <a:fillRect/>
                    </a:stretch>
                  </pic:blipFill>
                  <pic:spPr>
                    <a:xfrm>
                      <a:off x="0" y="0"/>
                      <a:ext cx="2438400" cy="2257425"/>
                    </a:xfrm>
                    <a:prstGeom prst="rect">
                      <a:avLst/>
                    </a:prstGeom>
                    <a:noFill/>
                    <a:ln w="9525">
                      <a:noFill/>
                      <a:miter lim="800000"/>
                      <a:headEnd/>
                      <a:tailEnd/>
                    </a:ln>
                  </pic:spPr>
                </pic:pic>
              </a:graphicData>
            </a:graphic>
          </wp:inline>
        </w:drawing>
      </w:r>
    </w:p>
    <w:p>
      <w:pPr>
        <w:jc w:val="center"/>
      </w:pPr>
    </w:p>
    <w:p>
      <w:pPr>
        <w:jc w:val="center"/>
        <w:rPr>
          <w:sz w:val="28"/>
          <w:szCs w:val="28"/>
        </w:rPr>
      </w:pPr>
      <w:r>
        <w:rPr>
          <w:rFonts w:hint="eastAsia" w:hAnsi="宋体"/>
          <w:sz w:val="28"/>
          <w:szCs w:val="28"/>
        </w:rPr>
        <w:t>清华大学公共管理学院</w:t>
      </w:r>
    </w:p>
    <w:p>
      <w:pPr>
        <w:jc w:val="center"/>
        <w:rPr>
          <w:sz w:val="28"/>
          <w:szCs w:val="28"/>
        </w:rPr>
      </w:pPr>
      <w:r>
        <w:rPr>
          <w:rFonts w:hint="eastAsia" w:hAnsi="宋体"/>
          <w:sz w:val="28"/>
          <w:szCs w:val="28"/>
        </w:rPr>
        <w:t>发展中国家公共管理硕士（</w:t>
      </w:r>
      <w:r>
        <w:rPr>
          <w:sz w:val="28"/>
          <w:szCs w:val="28"/>
        </w:rPr>
        <w:t>IMPA</w:t>
      </w:r>
      <w:r>
        <w:rPr>
          <w:rFonts w:hint="eastAsia" w:hAnsi="宋体"/>
          <w:sz w:val="28"/>
          <w:szCs w:val="28"/>
        </w:rPr>
        <w:t>）项目</w:t>
      </w:r>
    </w:p>
    <w:p>
      <w:pPr>
        <w:jc w:val="center"/>
        <w:rPr>
          <w:sz w:val="28"/>
          <w:szCs w:val="28"/>
        </w:rPr>
      </w:pPr>
      <w:r>
        <w:rPr>
          <w:sz w:val="28"/>
          <w:szCs w:val="28"/>
        </w:rPr>
        <w:t>201</w:t>
      </w:r>
      <w:r>
        <w:rPr>
          <w:rFonts w:hint="eastAsia"/>
          <w:sz w:val="28"/>
          <w:szCs w:val="28"/>
        </w:rPr>
        <w:t>6</w:t>
      </w:r>
      <w:r>
        <w:rPr>
          <w:rFonts w:hint="eastAsia" w:hAnsi="宋体"/>
          <w:sz w:val="28"/>
          <w:szCs w:val="28"/>
        </w:rPr>
        <w:t>年招生简章</w:t>
      </w:r>
    </w:p>
    <w:p>
      <w:pPr>
        <w:jc w:val="center"/>
        <w:rPr>
          <w:sz w:val="28"/>
          <w:szCs w:val="28"/>
        </w:rPr>
      </w:pPr>
      <w:r>
        <w:rPr>
          <w:rFonts w:hint="eastAsia" w:hAnsi="宋体"/>
          <w:sz w:val="28"/>
          <w:szCs w:val="28"/>
        </w:rPr>
        <w:t>（翻译件，以英文版本为准）</w:t>
      </w:r>
    </w:p>
    <w:p>
      <w:pPr>
        <w:jc w:val="center"/>
        <w:rPr>
          <w:sz w:val="28"/>
          <w:szCs w:val="28"/>
        </w:rPr>
      </w:pPr>
    </w:p>
    <w:p>
      <w:pPr>
        <w:rPr>
          <w:sz w:val="28"/>
          <w:szCs w:val="28"/>
        </w:rPr>
      </w:pPr>
      <w:r>
        <w:rPr>
          <w:rFonts w:hint="eastAsia" w:hAnsi="宋体"/>
          <w:sz w:val="28"/>
          <w:szCs w:val="28"/>
        </w:rPr>
        <w:t>一、项目介绍</w:t>
      </w:r>
    </w:p>
    <w:p>
      <w:pPr>
        <w:rPr>
          <w:sz w:val="28"/>
          <w:szCs w:val="28"/>
        </w:rPr>
      </w:pPr>
    </w:p>
    <w:p>
      <w:pPr>
        <w:rPr>
          <w:sz w:val="28"/>
          <w:szCs w:val="28"/>
        </w:rPr>
      </w:pPr>
      <w:r>
        <w:rPr>
          <w:rFonts w:hint="eastAsia" w:hAnsi="宋体"/>
          <w:sz w:val="28"/>
          <w:szCs w:val="28"/>
        </w:rPr>
        <w:t>二、课程大纲</w:t>
      </w:r>
    </w:p>
    <w:p>
      <w:pPr>
        <w:rPr>
          <w:sz w:val="28"/>
          <w:szCs w:val="28"/>
        </w:rPr>
      </w:pPr>
    </w:p>
    <w:p>
      <w:pPr>
        <w:rPr>
          <w:sz w:val="28"/>
          <w:szCs w:val="28"/>
        </w:rPr>
      </w:pPr>
      <w:r>
        <w:rPr>
          <w:rFonts w:hint="eastAsia" w:hAnsi="宋体"/>
          <w:sz w:val="28"/>
          <w:szCs w:val="28"/>
        </w:rPr>
        <w:t>三、课程介绍（中文翻译略）</w:t>
      </w:r>
    </w:p>
    <w:p>
      <w:pPr>
        <w:rPr>
          <w:sz w:val="28"/>
          <w:szCs w:val="28"/>
        </w:rPr>
      </w:pPr>
    </w:p>
    <w:p>
      <w:pPr>
        <w:rPr>
          <w:sz w:val="28"/>
          <w:szCs w:val="28"/>
        </w:rPr>
      </w:pPr>
      <w:r>
        <w:rPr>
          <w:rFonts w:hint="eastAsia" w:hAnsi="宋体"/>
          <w:sz w:val="28"/>
          <w:szCs w:val="28"/>
        </w:rPr>
        <w:t>四、现任教师（中文翻译略）</w:t>
      </w:r>
    </w:p>
    <w:p>
      <w:pPr>
        <w:rPr>
          <w:sz w:val="28"/>
          <w:szCs w:val="28"/>
        </w:rPr>
      </w:pPr>
    </w:p>
    <w:p>
      <w:pPr>
        <w:rPr>
          <w:sz w:val="28"/>
          <w:szCs w:val="28"/>
        </w:rPr>
      </w:pPr>
      <w:r>
        <w:rPr>
          <w:rFonts w:hint="eastAsia" w:hAnsi="宋体"/>
          <w:sz w:val="28"/>
          <w:szCs w:val="28"/>
        </w:rPr>
        <w:t>五、录取信息</w:t>
      </w:r>
    </w:p>
    <w:p>
      <w:pPr/>
    </w:p>
    <w:p>
      <w:pPr/>
    </w:p>
    <w:p>
      <w:pPr/>
    </w:p>
    <w:p>
      <w:pPr>
        <w:rPr>
          <w:sz w:val="24"/>
          <w:szCs w:val="24"/>
        </w:rPr>
      </w:pPr>
      <w:r>
        <w:rPr>
          <w:rFonts w:hint="eastAsia" w:hAnsi="宋体"/>
          <w:sz w:val="24"/>
          <w:szCs w:val="24"/>
        </w:rPr>
        <w:t>一、项目介绍</w:t>
      </w:r>
    </w:p>
    <w:p>
      <w:pPr>
        <w:pStyle w:val="9"/>
        <w:adjustRightInd w:val="0"/>
        <w:snapToGrid w:val="0"/>
        <w:spacing w:line="300" w:lineRule="auto"/>
        <w:rPr>
          <w:rFonts w:ascii="Times New Roman" w:hAnsi="Times New Roman"/>
          <w:b/>
          <w:bCs/>
          <w:sz w:val="24"/>
          <w:szCs w:val="24"/>
        </w:rPr>
      </w:pPr>
      <w:bookmarkStart w:id="0" w:name="OLE_LINK1"/>
      <w:bookmarkStart w:id="1" w:name="OLE_LINK2"/>
    </w:p>
    <w:p>
      <w:pPr>
        <w:ind w:firstLine="480" w:firstLineChars="200"/>
        <w:rPr>
          <w:sz w:val="24"/>
          <w:szCs w:val="24"/>
        </w:rPr>
      </w:pPr>
      <w:r>
        <w:rPr>
          <w:rFonts w:hint="eastAsia" w:hAnsi="宋体"/>
          <w:sz w:val="24"/>
          <w:szCs w:val="24"/>
        </w:rPr>
        <w:t>发展中国家公共管理硕士（</w:t>
      </w:r>
      <w:r>
        <w:rPr>
          <w:sz w:val="24"/>
          <w:szCs w:val="24"/>
        </w:rPr>
        <w:t>IMPA</w:t>
      </w:r>
      <w:r>
        <w:rPr>
          <w:rFonts w:hint="eastAsia" w:hAnsi="宋体"/>
          <w:sz w:val="24"/>
          <w:szCs w:val="24"/>
        </w:rPr>
        <w:t>）项目是由清华大学公共管理学院承办的为期一年的英语学位课程项目。此项目专为来自发展中国家的政府官员开设，并致力于加强这些国家与中国的合作与交流。此项目以增强学员运用公共管理理论和工具的能力，加深学员对中国的发展实践的理解，培养学员解决发展中国家转型过程中遇到的问题的领导技能。</w:t>
      </w:r>
      <w:r>
        <w:rPr>
          <w:sz w:val="24"/>
          <w:szCs w:val="24"/>
        </w:rPr>
        <w:t> IMPA</w:t>
      </w:r>
      <w:r>
        <w:rPr>
          <w:rFonts w:hint="eastAsia" w:hAnsi="宋体"/>
          <w:sz w:val="24"/>
          <w:szCs w:val="24"/>
        </w:rPr>
        <w:t>项目为全英语授课。</w:t>
      </w:r>
      <w:r>
        <w:rPr>
          <w:sz w:val="24"/>
          <w:szCs w:val="24"/>
        </w:rPr>
        <w:t> </w:t>
      </w:r>
    </w:p>
    <w:p>
      <w:pPr>
        <w:ind w:firstLine="480" w:firstLineChars="200"/>
        <w:rPr>
          <w:sz w:val="24"/>
          <w:szCs w:val="24"/>
        </w:rPr>
      </w:pPr>
    </w:p>
    <w:p>
      <w:pPr>
        <w:ind w:firstLine="480" w:firstLineChars="200"/>
        <w:rPr>
          <w:sz w:val="24"/>
          <w:szCs w:val="24"/>
        </w:rPr>
      </w:pPr>
      <w:r>
        <w:rPr>
          <w:rFonts w:hint="eastAsia" w:hAnsi="宋体"/>
          <w:sz w:val="24"/>
          <w:szCs w:val="24"/>
        </w:rPr>
        <w:t>清华大学公共管理学院主要任务在于提供公共管理学术及专业培训方案，以追求学术卓越，创新的管理和公共政策研究的实际应用。</w:t>
      </w:r>
      <w:r>
        <w:rPr>
          <w:sz w:val="24"/>
          <w:szCs w:val="24"/>
        </w:rPr>
        <w:t>IMPA</w:t>
      </w:r>
      <w:r>
        <w:rPr>
          <w:rFonts w:hint="eastAsia" w:hAnsi="宋体"/>
          <w:sz w:val="24"/>
          <w:szCs w:val="24"/>
        </w:rPr>
        <w:t>项目于</w:t>
      </w:r>
      <w:r>
        <w:rPr>
          <w:sz w:val="24"/>
          <w:szCs w:val="24"/>
        </w:rPr>
        <w:t>2008</w:t>
      </w:r>
      <w:r>
        <w:rPr>
          <w:rFonts w:hint="eastAsia" w:hAnsi="宋体"/>
          <w:sz w:val="24"/>
          <w:szCs w:val="24"/>
        </w:rPr>
        <w:t>年秋季启动，以分享中国发展的经验和教训以及对国际发展实践的贡献。</w:t>
      </w:r>
      <w:r>
        <w:rPr>
          <w:sz w:val="24"/>
          <w:szCs w:val="24"/>
        </w:rPr>
        <w:t> </w:t>
      </w:r>
    </w:p>
    <w:p>
      <w:pPr>
        <w:ind w:firstLine="480" w:firstLineChars="200"/>
        <w:rPr>
          <w:sz w:val="24"/>
          <w:szCs w:val="24"/>
        </w:rPr>
      </w:pPr>
    </w:p>
    <w:bookmarkEnd w:id="0"/>
    <w:bookmarkEnd w:id="1"/>
    <w:p>
      <w:pPr>
        <w:ind w:firstLine="480" w:firstLineChars="200"/>
        <w:rPr>
          <w:sz w:val="24"/>
          <w:szCs w:val="24"/>
        </w:rPr>
      </w:pPr>
      <w:r>
        <w:rPr>
          <w:rFonts w:hint="eastAsia" w:hAnsi="宋体"/>
          <w:sz w:val="24"/>
          <w:szCs w:val="24"/>
        </w:rPr>
        <w:t>目前</w:t>
      </w:r>
      <w:r>
        <w:rPr>
          <w:rFonts w:hAnsi="宋体"/>
          <w:sz w:val="24"/>
          <w:szCs w:val="24"/>
        </w:rPr>
        <w:t>IMPA201</w:t>
      </w:r>
      <w:r>
        <w:rPr>
          <w:rFonts w:hint="eastAsia" w:hAnsi="宋体"/>
          <w:sz w:val="24"/>
          <w:szCs w:val="24"/>
        </w:rPr>
        <w:t>5级汇集了来自</w:t>
      </w:r>
      <w:r>
        <w:rPr>
          <w:rFonts w:hAnsi="宋体"/>
          <w:sz w:val="24"/>
          <w:szCs w:val="24"/>
        </w:rPr>
        <w:t>1</w:t>
      </w:r>
      <w:r>
        <w:rPr>
          <w:rFonts w:hint="eastAsia" w:hAnsi="宋体"/>
          <w:sz w:val="24"/>
          <w:szCs w:val="24"/>
        </w:rPr>
        <w:t>2个非洲国家、5个亚洲国家、</w:t>
      </w:r>
      <w:r>
        <w:rPr>
          <w:rFonts w:hAnsi="宋体"/>
          <w:sz w:val="24"/>
          <w:szCs w:val="24"/>
        </w:rPr>
        <w:t>1</w:t>
      </w:r>
      <w:r>
        <w:rPr>
          <w:rFonts w:hint="eastAsia" w:hAnsi="宋体"/>
          <w:sz w:val="24"/>
          <w:szCs w:val="24"/>
        </w:rPr>
        <w:t>个中北美洲、2个南美洲国家的</w:t>
      </w:r>
      <w:r>
        <w:rPr>
          <w:rFonts w:hAnsi="宋体"/>
          <w:sz w:val="24"/>
          <w:szCs w:val="24"/>
        </w:rPr>
        <w:t>3</w:t>
      </w:r>
      <w:r>
        <w:rPr>
          <w:rFonts w:hint="eastAsia" w:hAnsi="宋体"/>
          <w:sz w:val="24"/>
          <w:szCs w:val="24"/>
        </w:rPr>
        <w:t>3个学生。首届</w:t>
      </w:r>
      <w:r>
        <w:rPr>
          <w:sz w:val="24"/>
          <w:szCs w:val="24"/>
        </w:rPr>
        <w:t>IMPA2008</w:t>
      </w:r>
      <w:r>
        <w:rPr>
          <w:rFonts w:hint="eastAsia" w:hAnsi="宋体"/>
          <w:sz w:val="24"/>
          <w:szCs w:val="24"/>
        </w:rPr>
        <w:t>级的</w:t>
      </w:r>
      <w:r>
        <w:rPr>
          <w:sz w:val="24"/>
          <w:szCs w:val="24"/>
        </w:rPr>
        <w:t>35</w:t>
      </w:r>
      <w:r>
        <w:rPr>
          <w:rFonts w:hint="eastAsia" w:hAnsi="宋体"/>
          <w:sz w:val="24"/>
          <w:szCs w:val="24"/>
        </w:rPr>
        <w:t>名学员来自亚洲</w:t>
      </w:r>
      <w:r>
        <w:rPr>
          <w:sz w:val="24"/>
          <w:szCs w:val="24"/>
        </w:rPr>
        <w:t>5</w:t>
      </w:r>
      <w:r>
        <w:rPr>
          <w:rFonts w:hint="eastAsia" w:hAnsi="宋体"/>
          <w:sz w:val="24"/>
          <w:szCs w:val="24"/>
        </w:rPr>
        <w:t>个国家和非洲</w:t>
      </w:r>
      <w:r>
        <w:rPr>
          <w:sz w:val="24"/>
          <w:szCs w:val="24"/>
        </w:rPr>
        <w:t>12</w:t>
      </w:r>
      <w:r>
        <w:rPr>
          <w:rFonts w:hint="eastAsia" w:hAnsi="宋体"/>
          <w:sz w:val="24"/>
          <w:szCs w:val="24"/>
        </w:rPr>
        <w:t>个国家</w:t>
      </w:r>
      <w:r>
        <w:rPr>
          <w:sz w:val="24"/>
          <w:szCs w:val="24"/>
        </w:rPr>
        <w:t>; IMPA2009</w:t>
      </w:r>
      <w:r>
        <w:rPr>
          <w:rFonts w:hint="eastAsia" w:hAnsi="宋体"/>
          <w:sz w:val="24"/>
          <w:szCs w:val="24"/>
        </w:rPr>
        <w:t>级的</w:t>
      </w:r>
      <w:r>
        <w:rPr>
          <w:sz w:val="24"/>
          <w:szCs w:val="24"/>
        </w:rPr>
        <w:t>36</w:t>
      </w:r>
      <w:r>
        <w:rPr>
          <w:rFonts w:hint="eastAsia" w:hAnsi="宋体"/>
          <w:sz w:val="24"/>
          <w:szCs w:val="24"/>
        </w:rPr>
        <w:t>名学员来自亚洲</w:t>
      </w:r>
      <w:r>
        <w:rPr>
          <w:sz w:val="24"/>
          <w:szCs w:val="24"/>
        </w:rPr>
        <w:t>6</w:t>
      </w:r>
      <w:r>
        <w:rPr>
          <w:rFonts w:hint="eastAsia" w:hAnsi="宋体"/>
          <w:sz w:val="24"/>
          <w:szCs w:val="24"/>
        </w:rPr>
        <w:t>个国家和非洲</w:t>
      </w:r>
      <w:r>
        <w:rPr>
          <w:sz w:val="24"/>
          <w:szCs w:val="24"/>
        </w:rPr>
        <w:t>20</w:t>
      </w:r>
      <w:r>
        <w:rPr>
          <w:rFonts w:hint="eastAsia" w:hAnsi="宋体"/>
          <w:sz w:val="24"/>
          <w:szCs w:val="24"/>
        </w:rPr>
        <w:t>个国家；</w:t>
      </w:r>
      <w:r>
        <w:rPr>
          <w:sz w:val="24"/>
          <w:szCs w:val="24"/>
        </w:rPr>
        <w:t>IMPA2010</w:t>
      </w:r>
      <w:r>
        <w:rPr>
          <w:rFonts w:hint="eastAsia" w:hAnsi="宋体"/>
          <w:sz w:val="24"/>
          <w:szCs w:val="24"/>
        </w:rPr>
        <w:t>级的</w:t>
      </w:r>
      <w:r>
        <w:rPr>
          <w:sz w:val="24"/>
          <w:szCs w:val="24"/>
        </w:rPr>
        <w:t>38</w:t>
      </w:r>
      <w:r>
        <w:rPr>
          <w:rFonts w:hint="eastAsia" w:hAnsi="宋体"/>
          <w:sz w:val="24"/>
          <w:szCs w:val="24"/>
        </w:rPr>
        <w:t>名学员来自亚洲</w:t>
      </w:r>
      <w:r>
        <w:rPr>
          <w:sz w:val="24"/>
          <w:szCs w:val="24"/>
        </w:rPr>
        <w:t>7</w:t>
      </w:r>
      <w:r>
        <w:rPr>
          <w:rFonts w:hint="eastAsia" w:hAnsi="宋体"/>
          <w:sz w:val="24"/>
          <w:szCs w:val="24"/>
        </w:rPr>
        <w:t>个国家和非洲</w:t>
      </w:r>
      <w:r>
        <w:rPr>
          <w:sz w:val="24"/>
          <w:szCs w:val="24"/>
        </w:rPr>
        <w:t>27</w:t>
      </w:r>
      <w:r>
        <w:rPr>
          <w:rFonts w:hint="eastAsia" w:hAnsi="宋体"/>
          <w:sz w:val="24"/>
          <w:szCs w:val="24"/>
        </w:rPr>
        <w:t>个国家；</w:t>
      </w:r>
      <w:r>
        <w:rPr>
          <w:sz w:val="24"/>
          <w:szCs w:val="24"/>
        </w:rPr>
        <w:t>IMPA2011</w:t>
      </w:r>
      <w:r>
        <w:rPr>
          <w:rFonts w:hint="eastAsia" w:hAnsi="宋体"/>
          <w:sz w:val="24"/>
          <w:szCs w:val="24"/>
        </w:rPr>
        <w:t>级的</w:t>
      </w:r>
      <w:r>
        <w:rPr>
          <w:sz w:val="24"/>
          <w:szCs w:val="24"/>
        </w:rPr>
        <w:t>27</w:t>
      </w:r>
      <w:r>
        <w:rPr>
          <w:rFonts w:hint="eastAsia" w:hAnsi="宋体"/>
          <w:sz w:val="24"/>
          <w:szCs w:val="24"/>
        </w:rPr>
        <w:t>名学员来自亚洲</w:t>
      </w:r>
      <w:r>
        <w:rPr>
          <w:sz w:val="24"/>
          <w:szCs w:val="24"/>
        </w:rPr>
        <w:t>6</w:t>
      </w:r>
      <w:r>
        <w:rPr>
          <w:rFonts w:hint="eastAsia" w:hAnsi="宋体"/>
          <w:sz w:val="24"/>
          <w:szCs w:val="24"/>
        </w:rPr>
        <w:t>个国家和非洲</w:t>
      </w:r>
      <w:r>
        <w:rPr>
          <w:sz w:val="24"/>
          <w:szCs w:val="24"/>
        </w:rPr>
        <w:t>12</w:t>
      </w:r>
      <w:r>
        <w:rPr>
          <w:rFonts w:hint="eastAsia" w:hAnsi="宋体"/>
          <w:sz w:val="24"/>
          <w:szCs w:val="24"/>
        </w:rPr>
        <w:t>个国家；</w:t>
      </w:r>
      <w:r>
        <w:rPr>
          <w:rFonts w:hAnsi="宋体"/>
          <w:sz w:val="24"/>
          <w:szCs w:val="24"/>
        </w:rPr>
        <w:t>IMPA2012</w:t>
      </w:r>
      <w:r>
        <w:rPr>
          <w:rFonts w:hint="eastAsia" w:hAnsi="宋体"/>
          <w:sz w:val="24"/>
          <w:szCs w:val="24"/>
        </w:rPr>
        <w:t>级的</w:t>
      </w:r>
      <w:r>
        <w:rPr>
          <w:rFonts w:hAnsi="宋体"/>
          <w:sz w:val="24"/>
          <w:szCs w:val="24"/>
        </w:rPr>
        <w:t>32</w:t>
      </w:r>
      <w:r>
        <w:rPr>
          <w:rFonts w:hint="eastAsia" w:hAnsi="宋体"/>
          <w:sz w:val="24"/>
          <w:szCs w:val="24"/>
        </w:rPr>
        <w:t>个学员来自</w:t>
      </w:r>
      <w:r>
        <w:rPr>
          <w:rFonts w:hAnsi="宋体"/>
          <w:sz w:val="24"/>
          <w:szCs w:val="24"/>
        </w:rPr>
        <w:t>6</w:t>
      </w:r>
      <w:r>
        <w:rPr>
          <w:rFonts w:hint="eastAsia" w:hAnsi="宋体"/>
          <w:sz w:val="24"/>
          <w:szCs w:val="24"/>
        </w:rPr>
        <w:t>个亚洲国家、</w:t>
      </w:r>
      <w:r>
        <w:rPr>
          <w:rFonts w:hAnsi="宋体"/>
          <w:sz w:val="24"/>
          <w:szCs w:val="24"/>
        </w:rPr>
        <w:t>8</w:t>
      </w:r>
      <w:r>
        <w:rPr>
          <w:rFonts w:hint="eastAsia" w:hAnsi="宋体"/>
          <w:sz w:val="24"/>
          <w:szCs w:val="24"/>
        </w:rPr>
        <w:t>个非洲国家、</w:t>
      </w:r>
      <w:r>
        <w:rPr>
          <w:rFonts w:hAnsi="宋体"/>
          <w:sz w:val="24"/>
          <w:szCs w:val="24"/>
        </w:rPr>
        <w:t>1</w:t>
      </w:r>
      <w:r>
        <w:rPr>
          <w:rFonts w:hint="eastAsia" w:hAnsi="宋体"/>
          <w:sz w:val="24"/>
          <w:szCs w:val="24"/>
        </w:rPr>
        <w:t>个北美洲、</w:t>
      </w:r>
      <w:r>
        <w:rPr>
          <w:rFonts w:hAnsi="宋体"/>
          <w:sz w:val="24"/>
          <w:szCs w:val="24"/>
        </w:rPr>
        <w:t>1</w:t>
      </w:r>
      <w:r>
        <w:rPr>
          <w:rFonts w:hint="eastAsia" w:hAnsi="宋体"/>
          <w:sz w:val="24"/>
          <w:szCs w:val="24"/>
        </w:rPr>
        <w:t>个南美洲和</w:t>
      </w:r>
      <w:r>
        <w:rPr>
          <w:rFonts w:hAnsi="宋体"/>
          <w:sz w:val="24"/>
          <w:szCs w:val="24"/>
        </w:rPr>
        <w:t>1</w:t>
      </w:r>
      <w:r>
        <w:rPr>
          <w:rFonts w:hint="eastAsia" w:hAnsi="宋体"/>
          <w:sz w:val="24"/>
          <w:szCs w:val="24"/>
        </w:rPr>
        <w:t>个大洋洲国家。</w:t>
      </w:r>
      <w:r>
        <w:rPr>
          <w:rFonts w:hAnsi="宋体"/>
          <w:sz w:val="24"/>
          <w:szCs w:val="24"/>
        </w:rPr>
        <w:t>IMPA2013</w:t>
      </w:r>
      <w:r>
        <w:rPr>
          <w:rFonts w:hint="eastAsia" w:hAnsi="宋体"/>
          <w:sz w:val="24"/>
          <w:szCs w:val="24"/>
        </w:rPr>
        <w:t>级的</w:t>
      </w:r>
      <w:r>
        <w:rPr>
          <w:rFonts w:hAnsi="宋体"/>
          <w:sz w:val="24"/>
          <w:szCs w:val="24"/>
        </w:rPr>
        <w:t>30</w:t>
      </w:r>
      <w:r>
        <w:rPr>
          <w:rFonts w:hint="eastAsia" w:hAnsi="宋体"/>
          <w:sz w:val="24"/>
          <w:szCs w:val="24"/>
        </w:rPr>
        <w:t>名学员来</w:t>
      </w:r>
      <w:r>
        <w:rPr>
          <w:rFonts w:hint="eastAsia" w:hAnsiTheme="minorEastAsia" w:eastAsiaTheme="minorEastAsia"/>
          <w:sz w:val="24"/>
          <w:szCs w:val="24"/>
        </w:rPr>
        <w:t>自</w:t>
      </w:r>
      <w:r>
        <w:rPr>
          <w:rFonts w:hAnsiTheme="minorEastAsia" w:eastAsiaTheme="minorEastAsia"/>
          <w:sz w:val="24"/>
          <w:szCs w:val="24"/>
        </w:rPr>
        <w:t>15</w:t>
      </w:r>
      <w:r>
        <w:rPr>
          <w:rFonts w:hint="eastAsia" w:hAnsiTheme="minorEastAsia" w:eastAsiaTheme="minorEastAsia"/>
          <w:sz w:val="24"/>
          <w:szCs w:val="24"/>
        </w:rPr>
        <w:t>个非洲国家、</w:t>
      </w:r>
      <w:r>
        <w:rPr>
          <w:rFonts w:hAnsiTheme="minorEastAsia" w:eastAsiaTheme="minorEastAsia"/>
          <w:sz w:val="24"/>
          <w:szCs w:val="24"/>
        </w:rPr>
        <w:t>3</w:t>
      </w:r>
      <w:r>
        <w:rPr>
          <w:rFonts w:hint="eastAsia" w:hAnsiTheme="minorEastAsia" w:eastAsiaTheme="minorEastAsia"/>
          <w:sz w:val="24"/>
          <w:szCs w:val="24"/>
        </w:rPr>
        <w:t>个亚洲国家、</w:t>
      </w:r>
      <w:r>
        <w:rPr>
          <w:rFonts w:hAnsiTheme="minorEastAsia" w:eastAsiaTheme="minorEastAsia"/>
          <w:sz w:val="24"/>
          <w:szCs w:val="24"/>
        </w:rPr>
        <w:t>3</w:t>
      </w:r>
      <w:r>
        <w:rPr>
          <w:rFonts w:hint="eastAsia" w:hAnsiTheme="minorEastAsia" w:eastAsiaTheme="minorEastAsia"/>
          <w:sz w:val="24"/>
          <w:szCs w:val="24"/>
        </w:rPr>
        <w:t>个北美洲、</w:t>
      </w:r>
      <w:r>
        <w:rPr>
          <w:rFonts w:hAnsiTheme="minorEastAsia" w:eastAsiaTheme="minorEastAsia"/>
          <w:sz w:val="24"/>
          <w:szCs w:val="24"/>
        </w:rPr>
        <w:t>2</w:t>
      </w:r>
      <w:r>
        <w:rPr>
          <w:rFonts w:hint="eastAsia" w:hAnsiTheme="minorEastAsia" w:eastAsiaTheme="minorEastAsia"/>
          <w:sz w:val="24"/>
          <w:szCs w:val="24"/>
        </w:rPr>
        <w:t>个欧洲、</w:t>
      </w:r>
      <w:r>
        <w:rPr>
          <w:rFonts w:hAnsiTheme="minorEastAsia" w:eastAsiaTheme="minorEastAsia"/>
          <w:sz w:val="24"/>
          <w:szCs w:val="24"/>
        </w:rPr>
        <w:t>1</w:t>
      </w:r>
      <w:r>
        <w:rPr>
          <w:rFonts w:hint="eastAsia" w:hAnsiTheme="minorEastAsia" w:eastAsiaTheme="minorEastAsia"/>
          <w:sz w:val="24"/>
          <w:szCs w:val="24"/>
        </w:rPr>
        <w:t>个南美洲和</w:t>
      </w:r>
      <w:r>
        <w:rPr>
          <w:rFonts w:hAnsiTheme="minorEastAsia" w:eastAsiaTheme="minorEastAsia"/>
          <w:sz w:val="24"/>
          <w:szCs w:val="24"/>
        </w:rPr>
        <w:t>2</w:t>
      </w:r>
      <w:r>
        <w:rPr>
          <w:rFonts w:hint="eastAsia" w:hAnsiTheme="minorEastAsia" w:eastAsiaTheme="minorEastAsia"/>
          <w:sz w:val="24"/>
          <w:szCs w:val="24"/>
        </w:rPr>
        <w:t>个大洋洲国家。</w:t>
      </w:r>
      <w:r>
        <w:rPr>
          <w:rFonts w:hAnsi="宋体"/>
          <w:sz w:val="24"/>
          <w:szCs w:val="24"/>
        </w:rPr>
        <w:t>IMPA201</w:t>
      </w:r>
      <w:r>
        <w:rPr>
          <w:rFonts w:hint="eastAsia" w:hAnsi="宋体"/>
          <w:sz w:val="24"/>
          <w:szCs w:val="24"/>
        </w:rPr>
        <w:t>4级的31名学员来自</w:t>
      </w:r>
      <w:r>
        <w:rPr>
          <w:rFonts w:hAnsi="宋体"/>
          <w:sz w:val="24"/>
          <w:szCs w:val="24"/>
        </w:rPr>
        <w:t>16</w:t>
      </w:r>
      <w:r>
        <w:rPr>
          <w:rFonts w:hint="eastAsia" w:hAnsi="宋体"/>
          <w:sz w:val="24"/>
          <w:szCs w:val="24"/>
        </w:rPr>
        <w:t>个非洲国家、</w:t>
      </w:r>
      <w:r>
        <w:rPr>
          <w:rFonts w:hAnsi="宋体"/>
          <w:sz w:val="24"/>
          <w:szCs w:val="24"/>
        </w:rPr>
        <w:t>1</w:t>
      </w:r>
      <w:r>
        <w:rPr>
          <w:rFonts w:hint="eastAsia" w:hAnsi="宋体"/>
          <w:sz w:val="24"/>
          <w:szCs w:val="24"/>
        </w:rPr>
        <w:t>个亚洲国家、</w:t>
      </w:r>
      <w:r>
        <w:rPr>
          <w:rFonts w:hAnsi="宋体"/>
          <w:sz w:val="24"/>
          <w:szCs w:val="24"/>
        </w:rPr>
        <w:t>1</w:t>
      </w:r>
      <w:r>
        <w:rPr>
          <w:rFonts w:hint="eastAsia" w:hAnsi="宋体"/>
          <w:sz w:val="24"/>
          <w:szCs w:val="24"/>
        </w:rPr>
        <w:t>个北美洲、</w:t>
      </w:r>
      <w:r>
        <w:rPr>
          <w:rFonts w:hAnsi="宋体"/>
          <w:sz w:val="24"/>
          <w:szCs w:val="24"/>
        </w:rPr>
        <w:t>2</w:t>
      </w:r>
      <w:r>
        <w:rPr>
          <w:rFonts w:hint="eastAsia" w:hAnsi="宋体"/>
          <w:sz w:val="24"/>
          <w:szCs w:val="24"/>
        </w:rPr>
        <w:t>个欧洲、</w:t>
      </w:r>
      <w:r>
        <w:rPr>
          <w:rFonts w:hAnsi="宋体"/>
          <w:sz w:val="24"/>
          <w:szCs w:val="24"/>
        </w:rPr>
        <w:t>2</w:t>
      </w:r>
      <w:r>
        <w:rPr>
          <w:rFonts w:hint="eastAsia" w:hAnsi="宋体"/>
          <w:sz w:val="24"/>
          <w:szCs w:val="24"/>
        </w:rPr>
        <w:t>个南美洲和</w:t>
      </w:r>
      <w:r>
        <w:rPr>
          <w:rFonts w:hAnsi="宋体"/>
          <w:sz w:val="24"/>
          <w:szCs w:val="24"/>
        </w:rPr>
        <w:t>1</w:t>
      </w:r>
      <w:r>
        <w:rPr>
          <w:rFonts w:hint="eastAsia" w:hAnsi="宋体"/>
          <w:sz w:val="24"/>
          <w:szCs w:val="24"/>
        </w:rPr>
        <w:t>个大洋洲国家。学生有机会与中国学生和教师共同参与各种活动，这对于鼓励发展和积极构建未来的合作网络有很大的作用。</w:t>
      </w:r>
    </w:p>
    <w:p>
      <w:pPr>
        <w:rPr>
          <w:sz w:val="24"/>
          <w:szCs w:val="24"/>
        </w:rPr>
      </w:pPr>
    </w:p>
    <w:p>
      <w:pPr>
        <w:rPr>
          <w:b/>
          <w:i/>
          <w:sz w:val="24"/>
          <w:szCs w:val="24"/>
        </w:rPr>
      </w:pPr>
      <w:r>
        <w:rPr>
          <w:rFonts w:hint="eastAsia"/>
          <w:b/>
          <w:i/>
          <w:sz w:val="24"/>
          <w:szCs w:val="24"/>
        </w:rPr>
        <w:t>学生职业背景</w:t>
      </w:r>
    </w:p>
    <w:p>
      <w:pPr>
        <w:rPr>
          <w:b/>
          <w:i/>
          <w:sz w:val="24"/>
          <w:szCs w:val="24"/>
        </w:rPr>
      </w:pPr>
    </w:p>
    <w:p>
      <w:pPr>
        <w:ind w:firstLine="570"/>
        <w:rPr>
          <w:sz w:val="24"/>
          <w:szCs w:val="24"/>
        </w:rPr>
      </w:pPr>
      <w:r>
        <w:rPr>
          <w:rFonts w:hint="eastAsia"/>
          <w:sz w:val="24"/>
          <w:szCs w:val="24"/>
        </w:rPr>
        <w:t>截止到</w:t>
      </w:r>
      <w:r>
        <w:rPr>
          <w:sz w:val="24"/>
          <w:szCs w:val="24"/>
        </w:rPr>
        <w:t>201</w:t>
      </w:r>
      <w:r>
        <w:rPr>
          <w:rFonts w:hint="eastAsia"/>
          <w:sz w:val="24"/>
          <w:szCs w:val="24"/>
        </w:rPr>
        <w:t>5年</w:t>
      </w:r>
      <w:r>
        <w:rPr>
          <w:sz w:val="24"/>
          <w:szCs w:val="24"/>
        </w:rPr>
        <w:t>9</w:t>
      </w:r>
      <w:r>
        <w:rPr>
          <w:rFonts w:hint="eastAsia"/>
          <w:sz w:val="24"/>
          <w:szCs w:val="24"/>
        </w:rPr>
        <w:t>月，</w:t>
      </w:r>
      <w:r>
        <w:rPr>
          <w:sz w:val="24"/>
          <w:szCs w:val="24"/>
        </w:rPr>
        <w:t>IMPA</w:t>
      </w:r>
      <w:r>
        <w:rPr>
          <w:rFonts w:hint="eastAsia"/>
          <w:sz w:val="24"/>
          <w:szCs w:val="24"/>
        </w:rPr>
        <w:t>项目的毕业生人数已达到228人。他们通过专业的公共管理教育，更加有能力来发展和治理国家。</w:t>
      </w:r>
      <w:r>
        <w:rPr>
          <w:rFonts w:hint="eastAsia" w:hAnsi="宋体"/>
          <w:sz w:val="24"/>
          <w:szCs w:val="24"/>
        </w:rPr>
        <w:t>学生的平均年龄为</w:t>
      </w:r>
      <w:r>
        <w:rPr>
          <w:sz w:val="24"/>
          <w:szCs w:val="24"/>
        </w:rPr>
        <w:t>35</w:t>
      </w:r>
      <w:r>
        <w:rPr>
          <w:rFonts w:hint="eastAsia" w:hAnsi="宋体"/>
          <w:sz w:val="24"/>
          <w:szCs w:val="24"/>
        </w:rPr>
        <w:t>岁，超过</w:t>
      </w:r>
      <w:r>
        <w:rPr>
          <w:sz w:val="24"/>
          <w:szCs w:val="24"/>
        </w:rPr>
        <w:t>80</w:t>
      </w:r>
      <w:r>
        <w:rPr>
          <w:rFonts w:hint="eastAsia" w:hAnsi="宋体"/>
          <w:sz w:val="24"/>
          <w:szCs w:val="24"/>
        </w:rPr>
        <w:t>％的学生是政府官员。</w:t>
      </w:r>
    </w:p>
    <w:p>
      <w:pPr>
        <w:ind w:firstLine="570"/>
        <w:rPr>
          <w:sz w:val="24"/>
          <w:szCs w:val="24"/>
        </w:rPr>
      </w:pPr>
    </w:p>
    <w:p>
      <w:pPr>
        <w:rPr>
          <w:sz w:val="24"/>
          <w:szCs w:val="24"/>
        </w:rPr>
      </w:pPr>
      <w:r>
        <w:rPr>
          <w:sz w:val="24"/>
          <w:szCs w:val="24"/>
        </w:rPr>
        <w:drawing>
          <wp:inline distT="0" distB="0" distL="0" distR="0">
            <wp:extent cx="5343525" cy="2743200"/>
            <wp:effectExtent l="19050" t="0" r="9525" b="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570"/>
        <w:rPr>
          <w:sz w:val="24"/>
          <w:szCs w:val="24"/>
        </w:rPr>
      </w:pPr>
      <w:r>
        <w:rPr>
          <w:rFonts w:hint="eastAsia"/>
          <w:sz w:val="24"/>
          <w:szCs w:val="24"/>
        </w:rPr>
        <w:t>截止到</w:t>
      </w:r>
      <w:r>
        <w:rPr>
          <w:sz w:val="24"/>
          <w:szCs w:val="24"/>
        </w:rPr>
        <w:t>201</w:t>
      </w:r>
      <w:r>
        <w:rPr>
          <w:rFonts w:hint="eastAsia"/>
          <w:sz w:val="24"/>
          <w:szCs w:val="24"/>
        </w:rPr>
        <w:t>5年9月，</w:t>
      </w:r>
      <w:r>
        <w:rPr>
          <w:sz w:val="24"/>
          <w:szCs w:val="24"/>
        </w:rPr>
        <w:t>IMPA</w:t>
      </w:r>
      <w:r>
        <w:rPr>
          <w:rFonts w:hint="eastAsia"/>
          <w:sz w:val="24"/>
          <w:szCs w:val="24"/>
        </w:rPr>
        <w:t>项目已录取</w:t>
      </w:r>
      <w:r>
        <w:rPr>
          <w:sz w:val="24"/>
          <w:szCs w:val="24"/>
        </w:rPr>
        <w:t>2</w:t>
      </w:r>
      <w:r>
        <w:rPr>
          <w:rFonts w:hint="eastAsia"/>
          <w:sz w:val="24"/>
          <w:szCs w:val="24"/>
        </w:rPr>
        <w:t>64名学员，来自</w:t>
      </w:r>
      <w:r>
        <w:rPr>
          <w:sz w:val="24"/>
          <w:szCs w:val="24"/>
        </w:rPr>
        <w:t>39</w:t>
      </w:r>
      <w:r>
        <w:rPr>
          <w:rFonts w:hint="eastAsia"/>
          <w:sz w:val="24"/>
          <w:szCs w:val="24"/>
        </w:rPr>
        <w:t>个非洲国家、20个亚洲国家、</w:t>
      </w:r>
      <w:r>
        <w:rPr>
          <w:sz w:val="24"/>
          <w:szCs w:val="24"/>
        </w:rPr>
        <w:t>2</w:t>
      </w:r>
      <w:r>
        <w:rPr>
          <w:rFonts w:hint="eastAsia"/>
          <w:sz w:val="24"/>
          <w:szCs w:val="24"/>
        </w:rPr>
        <w:t>个大洋洲国家、3个北美洲国家、</w:t>
      </w:r>
      <w:r>
        <w:rPr>
          <w:sz w:val="24"/>
          <w:szCs w:val="24"/>
        </w:rPr>
        <w:t>3</w:t>
      </w:r>
      <w:r>
        <w:rPr>
          <w:rFonts w:hint="eastAsia"/>
          <w:sz w:val="24"/>
          <w:szCs w:val="24"/>
        </w:rPr>
        <w:t>个南美洲国家和</w:t>
      </w:r>
      <w:r>
        <w:rPr>
          <w:sz w:val="24"/>
          <w:szCs w:val="24"/>
        </w:rPr>
        <w:t>3</w:t>
      </w:r>
      <w:r>
        <w:rPr>
          <w:rFonts w:hint="eastAsia"/>
          <w:sz w:val="24"/>
          <w:szCs w:val="24"/>
        </w:rPr>
        <w:t>个欧洲国家。</w:t>
      </w:r>
    </w:p>
    <w:p>
      <w:pPr>
        <w:rPr>
          <w:sz w:val="24"/>
          <w:szCs w:val="24"/>
        </w:rPr>
      </w:pPr>
    </w:p>
    <w:p>
      <w:pPr>
        <w:rPr>
          <w:sz w:val="24"/>
          <w:szCs w:val="24"/>
        </w:rPr>
      </w:pPr>
      <w:r>
        <w:rPr>
          <w:sz w:val="24"/>
          <w:szCs w:val="24"/>
        </w:rPr>
        <w:drawing>
          <wp:inline distT="0" distB="0" distL="0" distR="0">
            <wp:extent cx="5274310" cy="2614295"/>
            <wp:effectExtent l="19050" t="0" r="21590" b="0"/>
            <wp:docPr id="2"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570"/>
        <w:rPr>
          <w:sz w:val="24"/>
          <w:szCs w:val="24"/>
        </w:rPr>
      </w:pPr>
    </w:p>
    <w:p>
      <w:pPr>
        <w:ind w:firstLine="570"/>
        <w:jc w:val="center"/>
        <w:rPr>
          <w:sz w:val="24"/>
          <w:szCs w:val="24"/>
        </w:rPr>
      </w:pPr>
      <w:r>
        <w:t xml:space="preserve"> </w:t>
      </w:r>
    </w:p>
    <w:p>
      <w:pPr>
        <w:rPr>
          <w:sz w:val="24"/>
          <w:szCs w:val="24"/>
        </w:rPr>
      </w:pPr>
    </w:p>
    <w:p>
      <w:pPr>
        <w:rPr>
          <w:b/>
          <w:i/>
          <w:sz w:val="24"/>
          <w:szCs w:val="24"/>
        </w:rPr>
      </w:pPr>
      <w:r>
        <w:rPr>
          <w:rFonts w:hint="eastAsia"/>
          <w:b/>
          <w:i/>
          <w:sz w:val="24"/>
          <w:szCs w:val="24"/>
        </w:rPr>
        <w:t>项目特色</w:t>
      </w:r>
    </w:p>
    <w:p>
      <w:pPr>
        <w:rPr>
          <w:sz w:val="24"/>
          <w:szCs w:val="24"/>
        </w:rPr>
      </w:pPr>
      <w:r>
        <w:rPr>
          <w:sz w:val="24"/>
          <w:szCs w:val="24"/>
        </w:rPr>
        <w:drawing>
          <wp:inline distT="0" distB="0" distL="0" distR="0">
            <wp:extent cx="5181600" cy="2787650"/>
            <wp:effectExtent l="0" t="0" r="0" b="0"/>
            <wp:docPr id="4"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pPr>
        <w:rPr>
          <w:sz w:val="24"/>
          <w:szCs w:val="24"/>
        </w:rPr>
      </w:pPr>
    </w:p>
    <w:p>
      <w:pPr>
        <w:rPr>
          <w:sz w:val="28"/>
          <w:szCs w:val="28"/>
        </w:rPr>
      </w:pPr>
      <w:r>
        <w:rPr>
          <w:rFonts w:hint="eastAsia" w:hAnsi="宋体"/>
          <w:sz w:val="28"/>
          <w:szCs w:val="28"/>
        </w:rPr>
        <w:t>二、课程大纲</w:t>
      </w:r>
    </w:p>
    <w:p>
      <w:pPr>
        <w:pStyle w:val="9"/>
        <w:adjustRightInd w:val="0"/>
        <w:snapToGrid w:val="0"/>
        <w:spacing w:line="300" w:lineRule="auto"/>
        <w:rPr>
          <w:rFonts w:ascii="Times New Roman" w:hAnsi="Times New Roman"/>
          <w:bCs/>
          <w:sz w:val="30"/>
          <w:szCs w:val="30"/>
        </w:rPr>
      </w:pPr>
    </w:p>
    <w:p>
      <w:pPr>
        <w:pStyle w:val="9"/>
        <w:spacing w:line="300" w:lineRule="auto"/>
        <w:jc w:val="left"/>
        <w:rPr>
          <w:rFonts w:ascii="Times New Roman" w:hAnsi="Times New Roman"/>
          <w:b/>
          <w:bCs/>
          <w:sz w:val="24"/>
          <w:szCs w:val="24"/>
        </w:rPr>
      </w:pPr>
      <w:r>
        <w:rPr>
          <w:rFonts w:hint="eastAsia" w:ascii="Times New Roman" w:hAnsi="宋体"/>
          <w:b/>
          <w:bCs/>
          <w:sz w:val="24"/>
          <w:szCs w:val="24"/>
        </w:rPr>
        <w:t>项目学位要求</w:t>
      </w:r>
    </w:p>
    <w:p>
      <w:pPr>
        <w:spacing w:line="440" w:lineRule="exact"/>
        <w:ind w:firstLine="560" w:firstLineChars="200"/>
        <w:rPr>
          <w:sz w:val="28"/>
          <w:szCs w:val="28"/>
        </w:rPr>
      </w:pPr>
    </w:p>
    <w:p>
      <w:pPr>
        <w:spacing w:line="440" w:lineRule="exact"/>
        <w:ind w:firstLine="480" w:firstLineChars="200"/>
        <w:rPr>
          <w:sz w:val="24"/>
          <w:szCs w:val="24"/>
        </w:rPr>
      </w:pPr>
      <w:r>
        <w:rPr>
          <w:sz w:val="24"/>
          <w:szCs w:val="24"/>
        </w:rPr>
        <w:t>IMPA</w:t>
      </w:r>
      <w:r>
        <w:rPr>
          <w:rFonts w:hint="eastAsia" w:hAnsi="宋体"/>
          <w:sz w:val="24"/>
          <w:szCs w:val="24"/>
        </w:rPr>
        <w:t>学员需在两学期学习期间内，获得学位要求总学分不少于</w:t>
      </w:r>
      <w:r>
        <w:rPr>
          <w:sz w:val="24"/>
          <w:szCs w:val="24"/>
        </w:rPr>
        <w:t>30</w:t>
      </w:r>
      <w:r>
        <w:rPr>
          <w:rFonts w:hint="eastAsia" w:hAnsi="宋体"/>
          <w:sz w:val="24"/>
          <w:szCs w:val="24"/>
        </w:rPr>
        <w:t>分，包括汉语必修课</w:t>
      </w:r>
      <w:r>
        <w:rPr>
          <w:sz w:val="24"/>
          <w:szCs w:val="24"/>
        </w:rPr>
        <w:t>2</w:t>
      </w:r>
      <w:r>
        <w:rPr>
          <w:rFonts w:hint="eastAsia" w:hAnsi="宋体"/>
          <w:sz w:val="24"/>
          <w:szCs w:val="24"/>
        </w:rPr>
        <w:t>学分，核心课程</w:t>
      </w:r>
      <w:r>
        <w:rPr>
          <w:sz w:val="24"/>
          <w:szCs w:val="24"/>
        </w:rPr>
        <w:t>12</w:t>
      </w:r>
      <w:r>
        <w:rPr>
          <w:rFonts w:hint="eastAsia" w:hAnsi="宋体"/>
          <w:sz w:val="24"/>
          <w:szCs w:val="24"/>
        </w:rPr>
        <w:t>学分，选修课不少于</w:t>
      </w:r>
      <w:r>
        <w:rPr>
          <w:sz w:val="24"/>
          <w:szCs w:val="24"/>
        </w:rPr>
        <w:t>12</w:t>
      </w:r>
      <w:r>
        <w:rPr>
          <w:rFonts w:hint="eastAsia" w:hAnsi="宋体"/>
          <w:sz w:val="24"/>
          <w:szCs w:val="24"/>
        </w:rPr>
        <w:t>学分，专业实践环节</w:t>
      </w:r>
      <w:r>
        <w:rPr>
          <w:sz w:val="24"/>
          <w:szCs w:val="24"/>
        </w:rPr>
        <w:t>4</w:t>
      </w:r>
      <w:r>
        <w:rPr>
          <w:rFonts w:hint="eastAsia" w:hAnsi="宋体"/>
          <w:sz w:val="24"/>
          <w:szCs w:val="24"/>
        </w:rPr>
        <w:t>学分。</w:t>
      </w:r>
    </w:p>
    <w:p>
      <w:pPr>
        <w:pStyle w:val="9"/>
        <w:spacing w:line="300" w:lineRule="auto"/>
        <w:rPr>
          <w:rFonts w:ascii="Times New Roman" w:hAnsi="Times New Roman"/>
          <w:sz w:val="24"/>
          <w:szCs w:val="24"/>
        </w:rPr>
      </w:pPr>
    </w:p>
    <w:p>
      <w:pPr>
        <w:pStyle w:val="9"/>
        <w:spacing w:line="300" w:lineRule="auto"/>
        <w:rPr>
          <w:rFonts w:ascii="Times New Roman" w:hAnsi="Times New Roman"/>
          <w:sz w:val="24"/>
          <w:szCs w:val="24"/>
        </w:rPr>
      </w:pPr>
    </w:p>
    <w:p>
      <w:pPr>
        <w:pStyle w:val="9"/>
        <w:spacing w:line="300" w:lineRule="auto"/>
        <w:jc w:val="left"/>
        <w:rPr>
          <w:rFonts w:ascii="Times New Roman" w:hAnsi="Times New Roman"/>
          <w:b/>
          <w:bCs/>
          <w:sz w:val="24"/>
          <w:szCs w:val="24"/>
        </w:rPr>
      </w:pPr>
      <w:r>
        <w:rPr>
          <w:rFonts w:hint="eastAsia" w:ascii="Times New Roman" w:hAnsi="宋体"/>
          <w:b/>
          <w:bCs/>
          <w:sz w:val="24"/>
          <w:szCs w:val="24"/>
        </w:rPr>
        <w:t>课程安排</w:t>
      </w:r>
      <w:r>
        <w:rPr>
          <w:rFonts w:ascii="Times New Roman" w:hAnsi="Times New Roman"/>
          <w:b/>
          <w:bCs/>
          <w:sz w:val="24"/>
          <w:szCs w:val="24"/>
        </w:rPr>
        <w:t xml:space="preserve"> (30 </w:t>
      </w:r>
      <w:r>
        <w:rPr>
          <w:rFonts w:hint="eastAsia" w:ascii="Times New Roman" w:hAnsi="宋体"/>
          <w:b/>
          <w:bCs/>
          <w:sz w:val="24"/>
          <w:szCs w:val="24"/>
        </w:rPr>
        <w:t>学分</w:t>
      </w:r>
      <w:r>
        <w:rPr>
          <w:rFonts w:ascii="Times New Roman" w:hAnsi="Times New Roman"/>
          <w:b/>
          <w:bCs/>
          <w:sz w:val="24"/>
          <w:szCs w:val="24"/>
        </w:rPr>
        <w:t>)</w:t>
      </w:r>
    </w:p>
    <w:p>
      <w:pPr>
        <w:pStyle w:val="9"/>
        <w:spacing w:line="300" w:lineRule="auto"/>
        <w:jc w:val="left"/>
        <w:rPr>
          <w:rFonts w:ascii="Times New Roman" w:hAnsi="Times New Roman"/>
          <w:b/>
          <w:bCs/>
          <w:sz w:val="24"/>
          <w:szCs w:val="24"/>
        </w:rPr>
      </w:pPr>
    </w:p>
    <w:tbl>
      <w:tblPr>
        <w:tblStyle w:val="20"/>
        <w:tblW w:w="8616" w:type="dxa"/>
        <w:tblInd w:w="-106" w:type="dxa"/>
        <w:tblLayout w:type="fixed"/>
        <w:tblCellMar>
          <w:top w:w="0" w:type="dxa"/>
          <w:left w:w="108" w:type="dxa"/>
          <w:bottom w:w="0" w:type="dxa"/>
          <w:right w:w="108" w:type="dxa"/>
        </w:tblCellMar>
      </w:tblPr>
      <w:tblGrid>
        <w:gridCol w:w="5688"/>
        <w:gridCol w:w="180"/>
        <w:gridCol w:w="1620"/>
        <w:gridCol w:w="1128"/>
      </w:tblGrid>
      <w:tr>
        <w:tblPrEx>
          <w:tblLayout w:type="fixed"/>
          <w:tblCellMar>
            <w:top w:w="0" w:type="dxa"/>
            <w:left w:w="108" w:type="dxa"/>
            <w:bottom w:w="0" w:type="dxa"/>
            <w:right w:w="108" w:type="dxa"/>
          </w:tblCellMar>
        </w:tblPrEx>
        <w:tc>
          <w:tcPr>
            <w:tcW w:w="8616" w:type="dxa"/>
            <w:gridSpan w:val="4"/>
          </w:tcPr>
          <w:p>
            <w:pPr>
              <w:pStyle w:val="9"/>
              <w:numPr>
                <w:ilvl w:val="0"/>
                <w:numId w:val="1"/>
              </w:numPr>
              <w:spacing w:line="300" w:lineRule="auto"/>
              <w:jc w:val="left"/>
              <w:rPr>
                <w:rFonts w:ascii="Times New Roman" w:hAnsi="Times New Roman"/>
                <w:b/>
                <w:bCs/>
                <w:kern w:val="2"/>
                <w:sz w:val="24"/>
                <w:szCs w:val="24"/>
              </w:rPr>
            </w:pPr>
            <w:r>
              <w:rPr>
                <w:rFonts w:hint="eastAsia" w:ascii="Times New Roman" w:hAnsi="宋体"/>
                <w:b/>
                <w:bCs/>
                <w:kern w:val="2"/>
                <w:sz w:val="24"/>
                <w:szCs w:val="24"/>
              </w:rPr>
              <w:t>核心课</w:t>
            </w:r>
            <w:r>
              <w:rPr>
                <w:rFonts w:ascii="Times New Roman" w:hAnsi="Times New Roman"/>
                <w:b/>
                <w:bCs/>
                <w:kern w:val="2"/>
                <w:sz w:val="24"/>
                <w:szCs w:val="24"/>
              </w:rPr>
              <w:t xml:space="preserve"> (11</w:t>
            </w:r>
            <w:r>
              <w:rPr>
                <w:rFonts w:hint="eastAsia" w:ascii="Times New Roman" w:hAnsi="宋体"/>
                <w:b/>
                <w:bCs/>
                <w:kern w:val="2"/>
                <w:sz w:val="24"/>
                <w:szCs w:val="24"/>
              </w:rPr>
              <w:t>学分</w:t>
            </w:r>
            <w:r>
              <w:rPr>
                <w:rFonts w:ascii="Times New Roman" w:hAnsi="Times New Roman"/>
                <w:b/>
                <w:bCs/>
                <w:kern w:val="2"/>
                <w:sz w:val="24"/>
                <w:szCs w:val="24"/>
              </w:rPr>
              <w:t xml:space="preserve">) </w:t>
            </w:r>
          </w:p>
        </w:tc>
      </w:tr>
      <w:tr>
        <w:tblPrEx>
          <w:tblLayout w:type="fixed"/>
          <w:tblCellMar>
            <w:top w:w="0" w:type="dxa"/>
            <w:left w:w="108" w:type="dxa"/>
            <w:bottom w:w="0" w:type="dxa"/>
            <w:right w:w="108" w:type="dxa"/>
          </w:tblCellMar>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公共组织与管理</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公共政策分析</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比较政治与政府</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论文设计与写作</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8616" w:type="dxa"/>
            <w:gridSpan w:val="4"/>
          </w:tcPr>
          <w:p>
            <w:pPr>
              <w:pStyle w:val="9"/>
              <w:numPr>
                <w:ilvl w:val="0"/>
                <w:numId w:val="1"/>
              </w:numPr>
              <w:spacing w:line="300" w:lineRule="auto"/>
              <w:jc w:val="left"/>
              <w:rPr>
                <w:rFonts w:ascii="Times New Roman" w:hAnsi="Times New Roman"/>
                <w:b/>
                <w:bCs/>
                <w:kern w:val="2"/>
                <w:sz w:val="24"/>
                <w:szCs w:val="24"/>
              </w:rPr>
            </w:pPr>
            <w:r>
              <w:rPr>
                <w:rFonts w:hint="eastAsia" w:ascii="Times New Roman" w:hAnsi="宋体"/>
                <w:b/>
                <w:bCs/>
                <w:kern w:val="2"/>
                <w:sz w:val="24"/>
                <w:szCs w:val="24"/>
              </w:rPr>
              <w:t>选修课</w:t>
            </w:r>
            <w:r>
              <w:rPr>
                <w:rFonts w:ascii="Times New Roman" w:hAnsi="Times New Roman"/>
                <w:b/>
                <w:bCs/>
                <w:kern w:val="2"/>
                <w:sz w:val="24"/>
                <w:szCs w:val="24"/>
              </w:rPr>
              <w:t xml:space="preserve"> </w:t>
            </w:r>
            <w:r>
              <w:rPr>
                <w:rFonts w:hint="eastAsia" w:ascii="Times New Roman" w:hAnsi="宋体"/>
                <w:b/>
                <w:bCs/>
                <w:kern w:val="2"/>
                <w:sz w:val="24"/>
                <w:szCs w:val="24"/>
              </w:rPr>
              <w:t>（不少于</w:t>
            </w:r>
            <w:r>
              <w:rPr>
                <w:rFonts w:ascii="Times New Roman" w:hAnsi="Times New Roman"/>
                <w:b/>
                <w:bCs/>
                <w:kern w:val="2"/>
                <w:sz w:val="24"/>
                <w:szCs w:val="24"/>
              </w:rPr>
              <w:t>13</w:t>
            </w:r>
            <w:r>
              <w:rPr>
                <w:rFonts w:hint="eastAsia" w:ascii="Times New Roman" w:hAnsi="宋体"/>
                <w:b/>
                <w:bCs/>
                <w:kern w:val="2"/>
                <w:sz w:val="24"/>
                <w:szCs w:val="24"/>
              </w:rPr>
              <w:t>学分）</w:t>
            </w:r>
          </w:p>
          <w:p>
            <w:pPr>
              <w:pStyle w:val="9"/>
              <w:spacing w:line="300" w:lineRule="auto"/>
              <w:ind w:left="360"/>
              <w:jc w:val="left"/>
              <w:rPr>
                <w:rFonts w:ascii="Times New Roman" w:hAnsi="Times New Roman"/>
                <w:b/>
                <w:bCs/>
                <w:kern w:val="2"/>
                <w:sz w:val="24"/>
                <w:szCs w:val="24"/>
              </w:rPr>
            </w:pPr>
          </w:p>
        </w:tc>
      </w:tr>
      <w:tr>
        <w:tblPrEx>
          <w:tblLayout w:type="fixed"/>
          <w:tblCellMar>
            <w:top w:w="0" w:type="dxa"/>
            <w:left w:w="108" w:type="dxa"/>
            <w:bottom w:w="0" w:type="dxa"/>
            <w:right w:w="108" w:type="dxa"/>
          </w:tblCellMar>
        </w:tblPrEx>
        <w:tc>
          <w:tcPr>
            <w:tcW w:w="8616" w:type="dxa"/>
            <w:gridSpan w:val="4"/>
          </w:tcPr>
          <w:p>
            <w:pPr>
              <w:pStyle w:val="9"/>
              <w:spacing w:line="300" w:lineRule="auto"/>
              <w:ind w:firstLine="361" w:firstLineChars="150"/>
              <w:rPr>
                <w:rFonts w:ascii="Times New Roman" w:hAnsi="Times New Roman"/>
                <w:b/>
                <w:bCs/>
                <w:kern w:val="2"/>
                <w:sz w:val="24"/>
                <w:szCs w:val="24"/>
              </w:rPr>
            </w:pPr>
            <w:r>
              <w:rPr>
                <w:rFonts w:hint="eastAsia" w:ascii="Times New Roman" w:hAnsi="宋体"/>
                <w:b/>
                <w:bCs/>
                <w:kern w:val="2"/>
                <w:sz w:val="24"/>
                <w:szCs w:val="24"/>
              </w:rPr>
              <w:t>选修课</w:t>
            </w:r>
            <w:r>
              <w:rPr>
                <w:rFonts w:ascii="Times New Roman" w:hAnsi="Times New Roman"/>
                <w:b/>
                <w:bCs/>
                <w:kern w:val="2"/>
                <w:sz w:val="24"/>
                <w:szCs w:val="24"/>
              </w:rPr>
              <w:t xml:space="preserve"> I (</w:t>
            </w:r>
            <w:r>
              <w:rPr>
                <w:rFonts w:hint="eastAsia" w:ascii="Times New Roman" w:hAnsi="宋体"/>
                <w:b/>
                <w:bCs/>
                <w:kern w:val="2"/>
                <w:sz w:val="24"/>
                <w:szCs w:val="24"/>
              </w:rPr>
              <w:t>不少于</w:t>
            </w:r>
            <w:r>
              <w:rPr>
                <w:rFonts w:ascii="Times New Roman" w:hAnsi="Times New Roman"/>
                <w:b/>
                <w:bCs/>
                <w:kern w:val="2"/>
                <w:sz w:val="24"/>
                <w:szCs w:val="24"/>
              </w:rPr>
              <w:t>6</w:t>
            </w:r>
            <w:r>
              <w:rPr>
                <w:rFonts w:hint="eastAsia" w:ascii="Times New Roman" w:hAnsi="宋体"/>
                <w:b/>
                <w:bCs/>
                <w:kern w:val="2"/>
                <w:sz w:val="24"/>
                <w:szCs w:val="24"/>
              </w:rPr>
              <w:t>学分</w:t>
            </w:r>
            <w:r>
              <w:rPr>
                <w:rFonts w:ascii="Times New Roman" w:hAnsi="Times New Roman"/>
                <w:b/>
                <w:bCs/>
                <w:kern w:val="2"/>
                <w:sz w:val="24"/>
                <w:szCs w:val="24"/>
              </w:rPr>
              <w:t xml:space="preserve">)  </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治理与发展</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经济发展：理论与实践</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国际政治经济学</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领导科学与艺术</w:t>
            </w:r>
          </w:p>
        </w:tc>
        <w:tc>
          <w:tcPr>
            <w:tcW w:w="1800" w:type="dxa"/>
            <w:gridSpan w:val="2"/>
          </w:tcPr>
          <w:p>
            <w:pPr>
              <w:pStyle w:val="9"/>
              <w:spacing w:beforeLines="50" w:afterLines="50" w:line="300" w:lineRule="auto"/>
              <w:jc w:val="center"/>
              <w:rPr>
                <w:rFonts w:ascii="Times New Roman" w:hAnsi="Times New Roman"/>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2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全球化与治理</w:t>
            </w:r>
          </w:p>
        </w:tc>
        <w:tc>
          <w:tcPr>
            <w:tcW w:w="1800" w:type="dxa"/>
            <w:gridSpan w:val="2"/>
          </w:tcPr>
          <w:p>
            <w:pPr>
              <w:pStyle w:val="9"/>
              <w:spacing w:beforeLines="50" w:afterLines="50" w:line="300" w:lineRule="auto"/>
              <w:jc w:val="center"/>
              <w:rPr>
                <w:rFonts w:ascii="Times New Roman" w:hAnsi="Times New Roman"/>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公共政策前沿</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可持续发展的综合发展</w:t>
            </w:r>
          </w:p>
        </w:tc>
        <w:tc>
          <w:tcPr>
            <w:tcW w:w="1800" w:type="dxa"/>
            <w:gridSpan w:val="2"/>
            <w:vAlign w:val="center"/>
          </w:tcPr>
          <w:p>
            <w:pPr>
              <w:pStyle w:val="9"/>
              <w:spacing w:beforeLines="50" w:afterLines="50" w:line="300" w:lineRule="auto"/>
              <w:jc w:val="center"/>
              <w:rPr>
                <w:rFonts w:ascii="Times New Roman" w:hAnsi="Times New Roman"/>
                <w:kern w:val="2"/>
                <w:sz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世界各国发展模式</w:t>
            </w:r>
          </w:p>
        </w:tc>
        <w:tc>
          <w:tcPr>
            <w:tcW w:w="1800" w:type="dxa"/>
            <w:gridSpan w:val="2"/>
            <w:vAlign w:val="center"/>
          </w:tcPr>
          <w:p>
            <w:pPr>
              <w:pStyle w:val="9"/>
              <w:spacing w:before="60" w:after="60"/>
              <w:jc w:val="center"/>
              <w:rPr>
                <w:rFonts w:ascii="Times New Roman" w:hAnsi="Times New Roman"/>
                <w:kern w:val="2"/>
                <w:sz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应用社会研究方法</w:t>
            </w:r>
          </w:p>
        </w:tc>
        <w:tc>
          <w:tcPr>
            <w:tcW w:w="1800" w:type="dxa"/>
            <w:gridSpan w:val="2"/>
            <w:vAlign w:val="center"/>
          </w:tcPr>
          <w:p>
            <w:pPr>
              <w:pStyle w:val="9"/>
              <w:spacing w:before="60" w:after="60"/>
              <w:jc w:val="center"/>
              <w:rPr>
                <w:rFonts w:ascii="Times New Roman" w:hAnsi="Times New Roman"/>
                <w:kern w:val="2"/>
                <w:sz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中级社会研究方法</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2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独立研究</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ind w:firstLine="120" w:firstLineChars="50"/>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公共管理前沿</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ind w:firstLine="120" w:firstLineChars="50"/>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发展理论与实践</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ind w:firstLine="120" w:firstLineChars="50"/>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8616" w:type="dxa"/>
            <w:gridSpan w:val="4"/>
          </w:tcPr>
          <w:p>
            <w:pPr>
              <w:pStyle w:val="9"/>
              <w:spacing w:beforeLines="50" w:afterLines="50" w:line="300" w:lineRule="auto"/>
              <w:ind w:firstLine="354" w:firstLineChars="147"/>
              <w:rPr>
                <w:rFonts w:ascii="Times New Roman" w:hAnsi="Times New Roman"/>
                <w:b/>
                <w:bCs/>
                <w:kern w:val="2"/>
                <w:sz w:val="24"/>
                <w:szCs w:val="24"/>
              </w:rPr>
            </w:pPr>
            <w:r>
              <w:rPr>
                <w:rFonts w:hint="eastAsia" w:ascii="Times New Roman" w:hAnsi="宋体"/>
                <w:b/>
                <w:bCs/>
                <w:kern w:val="2"/>
                <w:sz w:val="24"/>
                <w:szCs w:val="24"/>
              </w:rPr>
              <w:t>选修课</w:t>
            </w:r>
            <w:r>
              <w:rPr>
                <w:rFonts w:ascii="Times New Roman" w:hAnsi="Times New Roman"/>
                <w:b/>
                <w:bCs/>
                <w:kern w:val="2"/>
                <w:sz w:val="24"/>
                <w:szCs w:val="24"/>
              </w:rPr>
              <w:t xml:space="preserve"> II (</w:t>
            </w:r>
            <w:r>
              <w:rPr>
                <w:rFonts w:hint="eastAsia" w:ascii="Times New Roman" w:hAnsi="宋体"/>
                <w:b/>
                <w:bCs/>
                <w:kern w:val="2"/>
                <w:sz w:val="24"/>
                <w:szCs w:val="24"/>
              </w:rPr>
              <w:t>不少于</w:t>
            </w:r>
            <w:r>
              <w:rPr>
                <w:rFonts w:ascii="Times New Roman" w:hAnsi="Times New Roman"/>
                <w:b/>
                <w:bCs/>
                <w:kern w:val="2"/>
                <w:sz w:val="24"/>
                <w:szCs w:val="24"/>
              </w:rPr>
              <w:t>6</w:t>
            </w:r>
            <w:r>
              <w:rPr>
                <w:rFonts w:hint="eastAsia" w:ascii="Times New Roman" w:hAnsi="宋体"/>
                <w:b/>
                <w:bCs/>
                <w:kern w:val="2"/>
                <w:sz w:val="24"/>
                <w:szCs w:val="24"/>
              </w:rPr>
              <w:t>学分</w:t>
            </w:r>
            <w:r>
              <w:rPr>
                <w:rFonts w:ascii="Times New Roman" w:hAnsi="Times New Roman"/>
                <w:b/>
                <w:bCs/>
                <w:kern w:val="2"/>
                <w:sz w:val="24"/>
                <w:szCs w:val="24"/>
              </w:rPr>
              <w:t>)</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中国政治与政府</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中国经济发展与政策</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中国社会政策</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中国外交战略和政策</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中国的宪法与行政法</w:t>
            </w:r>
          </w:p>
        </w:tc>
        <w:tc>
          <w:tcPr>
            <w:tcW w:w="1800" w:type="dxa"/>
            <w:gridSpan w:val="2"/>
          </w:tcPr>
          <w:p>
            <w:pPr>
              <w:pStyle w:val="9"/>
              <w:spacing w:beforeLines="50" w:afterLines="50" w:line="300" w:lineRule="auto"/>
              <w:jc w:val="center"/>
              <w:rPr>
                <w:rFonts w:ascii="Times New Roman" w:hAnsi="Times New Roman"/>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中国哲学</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2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中国社会与文化比较研究</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2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8616" w:type="dxa"/>
            <w:gridSpan w:val="4"/>
          </w:tcPr>
          <w:p>
            <w:pPr>
              <w:pStyle w:val="9"/>
              <w:numPr>
                <w:ilvl w:val="0"/>
                <w:numId w:val="1"/>
              </w:numPr>
              <w:spacing w:line="300" w:lineRule="auto"/>
              <w:jc w:val="left"/>
              <w:rPr>
                <w:rFonts w:ascii="Times New Roman" w:hAnsi="Times New Roman"/>
                <w:b/>
                <w:bCs/>
                <w:kern w:val="2"/>
                <w:sz w:val="24"/>
                <w:szCs w:val="24"/>
              </w:rPr>
            </w:pPr>
            <w:r>
              <w:rPr>
                <w:rFonts w:hint="eastAsia" w:ascii="Times New Roman" w:hAnsi="宋体"/>
                <w:b/>
                <w:bCs/>
                <w:kern w:val="2"/>
                <w:sz w:val="24"/>
                <w:szCs w:val="24"/>
              </w:rPr>
              <w:t>语言课（必修，</w:t>
            </w:r>
            <w:r>
              <w:rPr>
                <w:rFonts w:ascii="Times New Roman" w:hAnsi="Times New Roman"/>
                <w:b/>
                <w:bCs/>
                <w:kern w:val="2"/>
                <w:sz w:val="24"/>
                <w:szCs w:val="24"/>
              </w:rPr>
              <w:t>2</w:t>
            </w:r>
            <w:r>
              <w:rPr>
                <w:rFonts w:hint="eastAsia" w:ascii="Times New Roman" w:hAnsi="宋体"/>
                <w:b/>
                <w:bCs/>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b/>
                <w:bCs/>
                <w:kern w:val="2"/>
                <w:sz w:val="24"/>
                <w:szCs w:val="24"/>
              </w:rPr>
            </w:pPr>
            <w:r>
              <w:rPr>
                <w:rFonts w:hint="eastAsia" w:ascii="Times New Roman" w:hAnsi="宋体"/>
                <w:kern w:val="2"/>
              </w:rPr>
              <w:t>汉语</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b/>
                <w:bCs/>
                <w:kern w:val="2"/>
                <w:sz w:val="24"/>
                <w:szCs w:val="24"/>
              </w:rPr>
            </w:pPr>
            <w:r>
              <w:rPr>
                <w:rFonts w:ascii="Times New Roman" w:hAnsi="Times New Roman"/>
                <w:kern w:val="2"/>
                <w:sz w:val="24"/>
                <w:szCs w:val="24"/>
              </w:rPr>
              <w:t xml:space="preserve">2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8616" w:type="dxa"/>
            <w:gridSpan w:val="4"/>
          </w:tcPr>
          <w:p>
            <w:pPr>
              <w:pStyle w:val="9"/>
              <w:numPr>
                <w:ilvl w:val="0"/>
                <w:numId w:val="1"/>
              </w:numPr>
              <w:spacing w:line="300" w:lineRule="auto"/>
              <w:jc w:val="left"/>
              <w:rPr>
                <w:rFonts w:ascii="Times New Roman" w:hAnsi="Times New Roman"/>
                <w:b/>
                <w:bCs/>
                <w:kern w:val="2"/>
                <w:sz w:val="24"/>
                <w:szCs w:val="24"/>
              </w:rPr>
            </w:pPr>
            <w:r>
              <w:rPr>
                <w:rFonts w:hint="eastAsia" w:ascii="Times New Roman" w:hAnsi="宋体"/>
                <w:b/>
                <w:bCs/>
                <w:kern w:val="2"/>
                <w:sz w:val="24"/>
                <w:szCs w:val="24"/>
              </w:rPr>
              <w:t>专业实践（必修，</w:t>
            </w:r>
            <w:r>
              <w:rPr>
                <w:rFonts w:ascii="Times New Roman" w:hAnsi="Times New Roman"/>
                <w:b/>
                <w:bCs/>
                <w:kern w:val="2"/>
                <w:sz w:val="24"/>
                <w:szCs w:val="24"/>
              </w:rPr>
              <w:t>4</w:t>
            </w:r>
            <w:r>
              <w:rPr>
                <w:rFonts w:hint="eastAsia" w:ascii="Times New Roman" w:hAnsi="宋体"/>
                <w:b/>
                <w:bCs/>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公共管理实践</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3 </w:t>
            </w:r>
            <w:r>
              <w:rPr>
                <w:rFonts w:hint="eastAsia" w:ascii="Times New Roman" w:hAnsi="宋体"/>
                <w:kern w:val="2"/>
                <w:sz w:val="24"/>
                <w:szCs w:val="24"/>
              </w:rPr>
              <w:t>学分</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hint="eastAsia" w:ascii="Times New Roman" w:hAnsi="宋体"/>
                <w:kern w:val="2"/>
              </w:rPr>
              <w:t>文献综述与选题报告</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 xml:space="preserve">1 </w:t>
            </w:r>
            <w:r>
              <w:rPr>
                <w:rFonts w:hint="eastAsia" w:ascii="Times New Roman" w:hAnsi="宋体"/>
                <w:kern w:val="2"/>
                <w:sz w:val="24"/>
                <w:szCs w:val="24"/>
              </w:rPr>
              <w:t>学分</w:t>
            </w:r>
          </w:p>
        </w:tc>
      </w:tr>
    </w:tbl>
    <w:p>
      <w:pPr>
        <w:widowControl/>
        <w:jc w:val="left"/>
        <w:rPr>
          <w:b/>
          <w:bCs/>
          <w:lang w:val="fr-FR"/>
        </w:rPr>
      </w:pPr>
    </w:p>
    <w:p>
      <w:pPr>
        <w:rPr>
          <w:sz w:val="28"/>
          <w:szCs w:val="28"/>
        </w:rPr>
      </w:pPr>
      <w:r>
        <w:rPr>
          <w:rFonts w:hint="eastAsia" w:hAnsi="宋体"/>
          <w:sz w:val="28"/>
          <w:szCs w:val="28"/>
        </w:rPr>
        <w:t>三、课程介绍（中文翻译略，请参考英文招生简章）</w:t>
      </w:r>
    </w:p>
    <w:p>
      <w:pPr>
        <w:rPr>
          <w:sz w:val="28"/>
          <w:szCs w:val="28"/>
        </w:rPr>
      </w:pPr>
    </w:p>
    <w:p>
      <w:pPr>
        <w:rPr>
          <w:sz w:val="28"/>
          <w:szCs w:val="28"/>
        </w:rPr>
      </w:pPr>
      <w:r>
        <w:rPr>
          <w:rFonts w:hint="eastAsia" w:hAnsi="宋体"/>
          <w:sz w:val="28"/>
          <w:szCs w:val="28"/>
        </w:rPr>
        <w:t>四、现任教师（中文翻译略，请参考英文招生简章）</w:t>
      </w:r>
    </w:p>
    <w:p>
      <w:pPr>
        <w:rPr>
          <w:sz w:val="28"/>
          <w:szCs w:val="28"/>
        </w:rPr>
      </w:pPr>
    </w:p>
    <w:p>
      <w:pPr>
        <w:rPr>
          <w:rFonts w:hAnsi="宋体"/>
          <w:sz w:val="28"/>
          <w:szCs w:val="28"/>
        </w:rPr>
      </w:pPr>
      <w:r>
        <w:rPr>
          <w:rFonts w:hint="eastAsia" w:hAnsi="宋体"/>
          <w:sz w:val="28"/>
          <w:szCs w:val="28"/>
        </w:rPr>
        <w:t>五、申请信息</w:t>
      </w:r>
    </w:p>
    <w:p>
      <w:pPr>
        <w:pStyle w:val="9"/>
        <w:spacing w:line="300" w:lineRule="auto"/>
        <w:jc w:val="left"/>
        <w:rPr>
          <w:rFonts w:ascii="Times New Roman" w:hAnsi="宋体"/>
          <w:b/>
          <w:bCs/>
          <w:sz w:val="24"/>
          <w:szCs w:val="24"/>
        </w:rPr>
      </w:pPr>
      <w:r>
        <w:rPr>
          <w:rFonts w:hint="eastAsia" w:ascii="Times New Roman" w:hAnsi="宋体"/>
          <w:b/>
          <w:bCs/>
          <w:sz w:val="24"/>
          <w:szCs w:val="24"/>
        </w:rPr>
        <w:t>招生对象</w:t>
      </w:r>
    </w:p>
    <w:p>
      <w:pPr>
        <w:widowControl/>
        <w:numPr>
          <w:ilvl w:val="0"/>
          <w:numId w:val="3"/>
        </w:numPr>
        <w:jc w:val="left"/>
        <w:rPr>
          <w:rStyle w:val="37"/>
          <w:color w:val="000000"/>
          <w:sz w:val="20"/>
          <w:szCs w:val="20"/>
        </w:rPr>
      </w:pPr>
      <w:r>
        <w:rPr>
          <w:rStyle w:val="37"/>
          <w:rFonts w:hint="eastAsia"/>
          <w:color w:val="000000"/>
          <w:sz w:val="20"/>
          <w:szCs w:val="20"/>
        </w:rPr>
        <w:t>发展中国家处级及以上政府官员</w:t>
      </w:r>
      <w:r>
        <w:rPr>
          <w:rStyle w:val="37"/>
          <w:color w:val="000000"/>
          <w:sz w:val="20"/>
          <w:szCs w:val="20"/>
        </w:rPr>
        <w:t>;</w:t>
      </w:r>
    </w:p>
    <w:p>
      <w:pPr>
        <w:widowControl/>
        <w:numPr>
          <w:ilvl w:val="0"/>
          <w:numId w:val="3"/>
        </w:numPr>
        <w:jc w:val="left"/>
        <w:rPr>
          <w:rStyle w:val="37"/>
          <w:color w:val="000000"/>
          <w:sz w:val="20"/>
          <w:szCs w:val="20"/>
        </w:rPr>
      </w:pPr>
      <w:r>
        <w:rPr>
          <w:rStyle w:val="37"/>
          <w:color w:val="000000"/>
          <w:sz w:val="20"/>
          <w:szCs w:val="20"/>
        </w:rPr>
        <w:t>5</w:t>
      </w:r>
      <w:r>
        <w:rPr>
          <w:rStyle w:val="37"/>
          <w:rFonts w:hint="eastAsia"/>
          <w:color w:val="000000"/>
          <w:sz w:val="20"/>
          <w:szCs w:val="20"/>
        </w:rPr>
        <w:t>年以上工作经历，</w:t>
      </w:r>
      <w:r>
        <w:rPr>
          <w:rStyle w:val="37"/>
          <w:color w:val="000000"/>
          <w:sz w:val="20"/>
          <w:szCs w:val="20"/>
        </w:rPr>
        <w:t>45</w:t>
      </w:r>
      <w:r>
        <w:rPr>
          <w:rStyle w:val="37"/>
          <w:rFonts w:hint="eastAsia"/>
          <w:color w:val="000000"/>
          <w:sz w:val="20"/>
          <w:szCs w:val="20"/>
        </w:rPr>
        <w:t>岁以下；</w:t>
      </w:r>
    </w:p>
    <w:p>
      <w:pPr>
        <w:widowControl/>
        <w:numPr>
          <w:ilvl w:val="0"/>
          <w:numId w:val="3"/>
        </w:numPr>
        <w:jc w:val="left"/>
        <w:rPr>
          <w:color w:val="000000"/>
          <w:sz w:val="20"/>
          <w:szCs w:val="20"/>
        </w:rPr>
      </w:pPr>
      <w:r>
        <w:rPr>
          <w:rStyle w:val="37"/>
          <w:rFonts w:hint="eastAsia"/>
          <w:color w:val="000000"/>
          <w:sz w:val="20"/>
          <w:szCs w:val="20"/>
        </w:rPr>
        <w:t>具有较高英语水平。</w:t>
      </w:r>
    </w:p>
    <w:p>
      <w:pPr>
        <w:pStyle w:val="9"/>
        <w:spacing w:line="300" w:lineRule="auto"/>
        <w:jc w:val="left"/>
        <w:rPr>
          <w:rFonts w:ascii="Times New Roman" w:hAnsi="宋体"/>
          <w:b/>
          <w:bCs/>
          <w:sz w:val="24"/>
          <w:szCs w:val="24"/>
        </w:rPr>
      </w:pPr>
      <w:r>
        <w:rPr>
          <w:rFonts w:hint="eastAsia" w:ascii="Times New Roman" w:hAnsi="宋体"/>
          <w:b/>
          <w:bCs/>
          <w:sz w:val="24"/>
          <w:szCs w:val="24"/>
        </w:rPr>
        <w:t>申请材料</w:t>
      </w:r>
    </w:p>
    <w:p>
      <w:pPr>
        <w:widowControl/>
        <w:numPr>
          <w:ilvl w:val="0"/>
          <w:numId w:val="4"/>
        </w:numPr>
        <w:jc w:val="left"/>
        <w:rPr>
          <w:rStyle w:val="37"/>
          <w:color w:val="000000"/>
          <w:sz w:val="20"/>
          <w:szCs w:val="20"/>
        </w:rPr>
      </w:pPr>
      <w:r>
        <w:rPr>
          <w:rFonts w:hint="eastAsia"/>
          <w:color w:val="333333"/>
          <w:sz w:val="20"/>
          <w:szCs w:val="20"/>
        </w:rPr>
        <w:t>申请者本人签字的《清华大学外国留学生研究生项目申请表》原件，贴</w:t>
      </w:r>
      <w:r>
        <w:rPr>
          <w:color w:val="333333"/>
          <w:sz w:val="20"/>
          <w:szCs w:val="20"/>
        </w:rPr>
        <w:t>2</w:t>
      </w:r>
      <w:r>
        <w:rPr>
          <w:rFonts w:hint="eastAsia"/>
          <w:color w:val="333333"/>
          <w:sz w:val="20"/>
          <w:szCs w:val="20"/>
        </w:rPr>
        <w:t>寸近期照片</w:t>
      </w:r>
      <w:r>
        <w:rPr>
          <w:color w:val="333333"/>
          <w:sz w:val="20"/>
          <w:szCs w:val="20"/>
        </w:rPr>
        <w:t xml:space="preserve"> (</w:t>
      </w:r>
      <w:r>
        <w:rPr>
          <w:rFonts w:hint="eastAsia"/>
          <w:color w:val="333333"/>
          <w:sz w:val="20"/>
          <w:szCs w:val="20"/>
        </w:rPr>
        <w:t>详见申请程序第</w:t>
      </w:r>
      <w:r>
        <w:rPr>
          <w:color w:val="333333"/>
          <w:sz w:val="20"/>
          <w:szCs w:val="20"/>
        </w:rPr>
        <w:t>2</w:t>
      </w:r>
      <w:r>
        <w:rPr>
          <w:rFonts w:hint="eastAsia"/>
          <w:color w:val="333333"/>
          <w:sz w:val="20"/>
          <w:szCs w:val="20"/>
        </w:rPr>
        <w:t>条。</w:t>
      </w:r>
      <w:r>
        <w:rPr>
          <w:color w:val="333333"/>
          <w:sz w:val="20"/>
          <w:szCs w:val="20"/>
        </w:rPr>
        <w:t>)</w:t>
      </w:r>
      <w:r>
        <w:rPr>
          <w:rFonts w:hint="eastAsia"/>
          <w:color w:val="333333"/>
          <w:sz w:val="20"/>
          <w:szCs w:val="20"/>
        </w:rPr>
        <w:t>；</w:t>
      </w:r>
    </w:p>
    <w:p>
      <w:pPr>
        <w:widowControl/>
        <w:numPr>
          <w:ilvl w:val="0"/>
          <w:numId w:val="4"/>
        </w:numPr>
        <w:jc w:val="left"/>
        <w:rPr>
          <w:rStyle w:val="37"/>
          <w:color w:val="000000"/>
          <w:sz w:val="20"/>
          <w:szCs w:val="20"/>
        </w:rPr>
      </w:pPr>
      <w:r>
        <w:rPr>
          <w:rStyle w:val="37"/>
          <w:rFonts w:hint="eastAsia" w:hAnsi="宋体"/>
          <w:color w:val="000000"/>
          <w:sz w:val="20"/>
          <w:szCs w:val="20"/>
        </w:rPr>
        <w:t>护照大小近照三张（一张照片应粘贴到申请表。）；</w:t>
      </w:r>
    </w:p>
    <w:p>
      <w:pPr>
        <w:widowControl/>
        <w:numPr>
          <w:ilvl w:val="0"/>
          <w:numId w:val="4"/>
        </w:numPr>
        <w:jc w:val="left"/>
        <w:rPr>
          <w:rStyle w:val="37"/>
          <w:color w:val="000000"/>
          <w:sz w:val="20"/>
          <w:szCs w:val="20"/>
        </w:rPr>
      </w:pPr>
      <w:r>
        <w:rPr>
          <w:rStyle w:val="37"/>
          <w:rFonts w:hint="eastAsia" w:hAnsi="宋体"/>
          <w:color w:val="000000"/>
          <w:sz w:val="20"/>
          <w:szCs w:val="20"/>
        </w:rPr>
        <w:t>本科学历证明，正式学位证书（公证复印件）；</w:t>
      </w:r>
    </w:p>
    <w:p>
      <w:pPr>
        <w:widowControl/>
        <w:numPr>
          <w:ilvl w:val="0"/>
          <w:numId w:val="4"/>
        </w:numPr>
        <w:jc w:val="left"/>
        <w:rPr>
          <w:rStyle w:val="37"/>
          <w:color w:val="000000"/>
          <w:sz w:val="20"/>
          <w:szCs w:val="20"/>
        </w:rPr>
      </w:pPr>
      <w:r>
        <w:rPr>
          <w:rStyle w:val="37"/>
          <w:rFonts w:hint="eastAsia" w:hAnsi="宋体"/>
          <w:color w:val="000000"/>
          <w:sz w:val="20"/>
          <w:szCs w:val="20"/>
        </w:rPr>
        <w:t>本科学历成绩单（原件或公证复印件）；</w:t>
      </w:r>
    </w:p>
    <w:p>
      <w:pPr>
        <w:widowControl/>
        <w:numPr>
          <w:ilvl w:val="0"/>
          <w:numId w:val="4"/>
        </w:numPr>
        <w:jc w:val="left"/>
        <w:rPr>
          <w:rStyle w:val="37"/>
          <w:color w:val="000000"/>
          <w:sz w:val="20"/>
          <w:szCs w:val="20"/>
        </w:rPr>
      </w:pPr>
      <w:r>
        <w:rPr>
          <w:rStyle w:val="37"/>
          <w:rFonts w:hint="eastAsia" w:hAnsi="宋体"/>
          <w:color w:val="000000"/>
          <w:sz w:val="20"/>
          <w:szCs w:val="20"/>
        </w:rPr>
        <w:t>个人陈述（英文）；</w:t>
      </w:r>
    </w:p>
    <w:p>
      <w:pPr>
        <w:widowControl/>
        <w:numPr>
          <w:ilvl w:val="0"/>
          <w:numId w:val="4"/>
        </w:numPr>
        <w:jc w:val="left"/>
        <w:rPr>
          <w:rStyle w:val="37"/>
          <w:color w:val="000000"/>
          <w:sz w:val="20"/>
          <w:szCs w:val="20"/>
        </w:rPr>
      </w:pPr>
      <w:r>
        <w:rPr>
          <w:rStyle w:val="37"/>
          <w:color w:val="000000"/>
          <w:sz w:val="20"/>
          <w:szCs w:val="20"/>
        </w:rPr>
        <w:t>2</w:t>
      </w:r>
      <w:r>
        <w:rPr>
          <w:rStyle w:val="37"/>
          <w:rFonts w:hint="eastAsia" w:hAnsi="宋体"/>
          <w:color w:val="000000"/>
          <w:sz w:val="20"/>
          <w:szCs w:val="20"/>
        </w:rPr>
        <w:t>封推荐信（英文或中文原件）；一封由已毕业学校提供，一封由现在工作单位提供。</w:t>
      </w:r>
    </w:p>
    <w:p>
      <w:pPr>
        <w:widowControl/>
        <w:numPr>
          <w:ilvl w:val="0"/>
          <w:numId w:val="4"/>
        </w:numPr>
        <w:jc w:val="left"/>
        <w:rPr>
          <w:rStyle w:val="37"/>
          <w:color w:val="000000"/>
          <w:sz w:val="20"/>
          <w:szCs w:val="20"/>
        </w:rPr>
      </w:pPr>
      <w:r>
        <w:rPr>
          <w:rStyle w:val="37"/>
          <w:rFonts w:hint="eastAsia" w:hAnsi="宋体"/>
          <w:color w:val="000000"/>
          <w:sz w:val="20"/>
          <w:szCs w:val="20"/>
        </w:rPr>
        <w:t>护照复印件（护照应为</w:t>
      </w:r>
      <w:r>
        <w:rPr>
          <w:rStyle w:val="37"/>
          <w:rFonts w:hint="eastAsia" w:hAnsi="宋体"/>
          <w:color w:val="000000"/>
          <w:sz w:val="20"/>
          <w:szCs w:val="20"/>
          <w:u w:val="single"/>
        </w:rPr>
        <w:t>个人普通护照</w:t>
      </w:r>
      <w:r>
        <w:rPr>
          <w:rStyle w:val="37"/>
          <w:rFonts w:hint="eastAsia" w:hAnsi="宋体"/>
          <w:color w:val="000000"/>
          <w:sz w:val="20"/>
          <w:szCs w:val="20"/>
        </w:rPr>
        <w:t>）；</w:t>
      </w:r>
    </w:p>
    <w:p>
      <w:pPr>
        <w:widowControl/>
        <w:numPr>
          <w:ilvl w:val="0"/>
          <w:numId w:val="4"/>
        </w:numPr>
        <w:jc w:val="left"/>
        <w:rPr>
          <w:rStyle w:val="37"/>
          <w:color w:val="000000"/>
          <w:sz w:val="20"/>
          <w:szCs w:val="20"/>
        </w:rPr>
      </w:pPr>
      <w:r>
        <w:rPr>
          <w:rStyle w:val="37"/>
          <w:rFonts w:hint="eastAsia" w:hAnsi="宋体"/>
          <w:color w:val="000000"/>
          <w:sz w:val="20"/>
          <w:szCs w:val="20"/>
        </w:rPr>
        <w:t>英语语言能力测试成绩（若申请者母语为非英语或高等教育阶段授课语言为非英语，则提供托福或雅思考试成绩证明，非必须提供。）。</w:t>
      </w:r>
    </w:p>
    <w:p>
      <w:pPr>
        <w:widowControl/>
        <w:numPr>
          <w:ilvl w:val="0"/>
          <w:numId w:val="4"/>
        </w:numPr>
        <w:jc w:val="left"/>
        <w:rPr>
          <w:rStyle w:val="37"/>
          <w:color w:val="000000"/>
          <w:sz w:val="20"/>
          <w:szCs w:val="20"/>
        </w:rPr>
      </w:pPr>
      <w:r>
        <w:rPr>
          <w:rStyle w:val="37"/>
          <w:rFonts w:hint="eastAsia" w:hAnsi="宋体"/>
          <w:color w:val="000000"/>
          <w:sz w:val="20"/>
          <w:szCs w:val="20"/>
        </w:rPr>
        <w:t>《外国人体格检查表》；</w:t>
      </w:r>
    </w:p>
    <w:p>
      <w:pPr>
        <w:widowControl/>
        <w:numPr>
          <w:ilvl w:val="0"/>
          <w:numId w:val="4"/>
        </w:numPr>
        <w:jc w:val="left"/>
        <w:rPr>
          <w:rStyle w:val="37"/>
          <w:color w:val="000000"/>
          <w:sz w:val="20"/>
          <w:szCs w:val="20"/>
        </w:rPr>
      </w:pPr>
      <w:r>
        <w:rPr>
          <w:rStyle w:val="37"/>
          <w:rFonts w:hint="eastAsia" w:hAnsi="宋体"/>
          <w:color w:val="000000"/>
          <w:sz w:val="20"/>
          <w:szCs w:val="20"/>
        </w:rPr>
        <w:t>《中国政府奖学金申请表》。</w:t>
      </w:r>
    </w:p>
    <w:p>
      <w:pPr>
        <w:widowControl/>
        <w:jc w:val="left"/>
        <w:rPr>
          <w:color w:val="000000"/>
        </w:rPr>
      </w:pPr>
      <w:r>
        <w:rPr>
          <w:color w:val="000000"/>
        </w:rPr>
        <w:t xml:space="preserve">    </w:t>
      </w:r>
    </w:p>
    <w:p>
      <w:pPr>
        <w:widowControl/>
        <w:ind w:left="360"/>
        <w:jc w:val="left"/>
        <w:rPr>
          <w:rStyle w:val="37"/>
          <w:b/>
          <w:color w:val="000000"/>
          <w:sz w:val="20"/>
          <w:szCs w:val="20"/>
        </w:rPr>
      </w:pPr>
      <w:r>
        <w:rPr>
          <w:rStyle w:val="37"/>
          <w:rFonts w:hint="eastAsia" w:hAnsi="宋体"/>
          <w:b/>
          <w:color w:val="000000"/>
          <w:sz w:val="20"/>
          <w:szCs w:val="20"/>
        </w:rPr>
        <w:t>申请材料应为中文或英文原件，或者</w:t>
      </w:r>
      <w:r>
        <w:rPr>
          <w:rStyle w:val="37"/>
          <w:rFonts w:hint="eastAsia" w:hAnsi="宋体"/>
          <w:b/>
          <w:color w:val="000000"/>
          <w:sz w:val="20"/>
          <w:szCs w:val="20"/>
          <w:u w:val="single"/>
        </w:rPr>
        <w:t>中文或英文</w:t>
      </w:r>
      <w:r>
        <w:rPr>
          <w:rStyle w:val="37"/>
          <w:rFonts w:hint="eastAsia" w:hAnsi="宋体"/>
          <w:b/>
          <w:color w:val="000000"/>
          <w:sz w:val="20"/>
          <w:szCs w:val="20"/>
        </w:rPr>
        <w:t>公证原件。</w:t>
      </w:r>
    </w:p>
    <w:p>
      <w:pPr>
        <w:widowControl/>
        <w:ind w:left="360"/>
        <w:jc w:val="left"/>
        <w:rPr>
          <w:b/>
          <w:color w:val="000000"/>
          <w:sz w:val="20"/>
          <w:szCs w:val="20"/>
        </w:rPr>
      </w:pPr>
    </w:p>
    <w:p>
      <w:pPr>
        <w:widowControl/>
        <w:ind w:left="360"/>
        <w:jc w:val="left"/>
        <w:rPr>
          <w:b/>
          <w:color w:val="000000"/>
          <w:sz w:val="20"/>
          <w:szCs w:val="20"/>
        </w:rPr>
      </w:pPr>
      <w:r>
        <w:rPr>
          <w:rStyle w:val="37"/>
          <w:rFonts w:hint="eastAsia" w:hAnsi="宋体"/>
          <w:b/>
          <w:color w:val="000000"/>
          <w:sz w:val="20"/>
          <w:szCs w:val="20"/>
        </w:rPr>
        <w:t>上述申请材料概不退还。</w:t>
      </w:r>
    </w:p>
    <w:p>
      <w:pPr>
        <w:widowControl/>
        <w:ind w:left="360"/>
        <w:jc w:val="left"/>
        <w:rPr>
          <w:b/>
          <w:color w:val="000000"/>
          <w:sz w:val="20"/>
          <w:szCs w:val="20"/>
        </w:rPr>
      </w:pPr>
    </w:p>
    <w:p>
      <w:pPr>
        <w:widowControl/>
        <w:ind w:left="360"/>
        <w:jc w:val="left"/>
        <w:rPr>
          <w:b/>
          <w:color w:val="000000"/>
        </w:rPr>
      </w:pPr>
      <w:r>
        <w:rPr>
          <w:rStyle w:val="37"/>
          <w:rFonts w:hint="eastAsia" w:hAnsi="宋体"/>
          <w:b/>
          <w:color w:val="000000"/>
          <w:sz w:val="20"/>
          <w:szCs w:val="20"/>
        </w:rPr>
        <w:t>申请人必须经过中国大使馆</w:t>
      </w:r>
      <w:r>
        <w:rPr>
          <w:rStyle w:val="37"/>
          <w:rFonts w:hint="eastAsia" w:hAnsi="宋体"/>
          <w:b/>
          <w:color w:val="000000"/>
          <w:sz w:val="20"/>
          <w:szCs w:val="20"/>
          <w:lang w:eastAsia="zh-CN"/>
        </w:rPr>
        <w:t>经商处</w:t>
      </w:r>
      <w:r>
        <w:rPr>
          <w:rStyle w:val="37"/>
          <w:rFonts w:hint="eastAsia" w:hAnsi="宋体"/>
          <w:b/>
          <w:color w:val="000000"/>
          <w:sz w:val="20"/>
          <w:szCs w:val="20"/>
        </w:rPr>
        <w:t>推荐方会被考虑录取。</w:t>
      </w:r>
    </w:p>
    <w:p>
      <w:pPr>
        <w:pStyle w:val="9"/>
        <w:spacing w:line="300" w:lineRule="auto"/>
        <w:jc w:val="left"/>
        <w:rPr>
          <w:rFonts w:ascii="Times New Roman" w:hAnsi="Times New Roman"/>
          <w:b/>
          <w:bCs/>
          <w:sz w:val="24"/>
          <w:szCs w:val="24"/>
        </w:rPr>
      </w:pPr>
    </w:p>
    <w:p>
      <w:pPr>
        <w:pStyle w:val="9"/>
        <w:spacing w:line="300" w:lineRule="auto"/>
        <w:jc w:val="left"/>
        <w:rPr>
          <w:rFonts w:ascii="Times New Roman" w:hAnsi="宋体"/>
          <w:b/>
          <w:bCs/>
          <w:sz w:val="24"/>
          <w:szCs w:val="24"/>
        </w:rPr>
      </w:pPr>
      <w:r>
        <w:rPr>
          <w:rFonts w:hint="eastAsia" w:ascii="Times New Roman" w:hAnsi="宋体"/>
          <w:b/>
          <w:bCs/>
          <w:sz w:val="24"/>
          <w:szCs w:val="24"/>
        </w:rPr>
        <w:t>申请程序</w:t>
      </w:r>
    </w:p>
    <w:p>
      <w:pPr>
        <w:pStyle w:val="9"/>
        <w:spacing w:line="300" w:lineRule="auto"/>
        <w:jc w:val="left"/>
        <w:rPr>
          <w:rFonts w:ascii="Times New Roman" w:hAnsi="宋体"/>
          <w:b/>
          <w:bCs/>
          <w:sz w:val="24"/>
          <w:szCs w:val="24"/>
        </w:rPr>
      </w:pPr>
    </w:p>
    <w:p>
      <w:pPr>
        <w:pStyle w:val="39"/>
        <w:widowControl/>
        <w:numPr>
          <w:ilvl w:val="0"/>
          <w:numId w:val="5"/>
        </w:numPr>
        <w:ind w:firstLineChars="0"/>
        <w:jc w:val="left"/>
        <w:rPr>
          <w:rStyle w:val="37"/>
          <w:rFonts w:hAnsi="宋体"/>
          <w:color w:val="000000"/>
          <w:sz w:val="20"/>
          <w:szCs w:val="20"/>
        </w:rPr>
      </w:pPr>
      <w:r>
        <w:rPr>
          <w:rStyle w:val="37"/>
          <w:rFonts w:hint="eastAsia" w:hAnsi="宋体"/>
          <w:color w:val="000000"/>
          <w:sz w:val="20"/>
          <w:szCs w:val="20"/>
        </w:rPr>
        <w:t>完成网上申请：</w:t>
      </w:r>
    </w:p>
    <w:p>
      <w:pPr>
        <w:pStyle w:val="39"/>
        <w:widowControl/>
        <w:ind w:left="360" w:firstLine="400"/>
        <w:jc w:val="left"/>
        <w:rPr>
          <w:rStyle w:val="37"/>
          <w:rFonts w:hAnsi="宋体"/>
          <w:color w:val="000000"/>
          <w:sz w:val="20"/>
          <w:szCs w:val="20"/>
          <w:u w:val="single"/>
        </w:rPr>
      </w:pPr>
      <w:r>
        <w:rPr>
          <w:rStyle w:val="37"/>
          <w:rFonts w:hint="eastAsia" w:ascii="Times New Roman" w:hAnsi="宋体"/>
          <w:color w:val="000000"/>
          <w:sz w:val="20"/>
          <w:szCs w:val="20"/>
          <w:u w:val="single"/>
        </w:rPr>
        <w:t>通过清华大学外国留学生工作办公室网站</w:t>
      </w:r>
      <w:r>
        <w:rPr>
          <w:rStyle w:val="37"/>
          <w:rFonts w:ascii="Times New Roman" w:hAnsi="宋体"/>
          <w:color w:val="000000"/>
          <w:sz w:val="20"/>
          <w:szCs w:val="20"/>
          <w:u w:val="single"/>
        </w:rPr>
        <w:t>(http://is.tsinghua.edu.cn)</w:t>
      </w:r>
      <w:r>
        <w:rPr>
          <w:rStyle w:val="37"/>
          <w:rFonts w:hint="eastAsia" w:ascii="Times New Roman" w:hAnsi="宋体"/>
          <w:color w:val="000000"/>
          <w:sz w:val="20"/>
          <w:szCs w:val="20"/>
          <w:u w:val="single"/>
        </w:rPr>
        <w:t>进行在线申请，提交所需申请信息，待申请状态变为</w:t>
      </w:r>
      <w:r>
        <w:rPr>
          <w:rStyle w:val="37"/>
          <w:rFonts w:ascii="Times New Roman" w:hAnsi="宋体"/>
          <w:color w:val="000000"/>
          <w:sz w:val="20"/>
          <w:szCs w:val="20"/>
          <w:u w:val="single"/>
        </w:rPr>
        <w:t>"</w:t>
      </w:r>
      <w:r>
        <w:rPr>
          <w:rStyle w:val="37"/>
          <w:rFonts w:hint="eastAsia" w:ascii="Times New Roman" w:hAnsi="宋体"/>
          <w:color w:val="000000"/>
          <w:sz w:val="20"/>
          <w:szCs w:val="20"/>
          <w:u w:val="single"/>
        </w:rPr>
        <w:t>审核通过</w:t>
      </w:r>
      <w:r>
        <w:rPr>
          <w:rStyle w:val="37"/>
          <w:rFonts w:ascii="Times New Roman" w:hAnsi="宋体"/>
          <w:color w:val="000000"/>
          <w:sz w:val="20"/>
          <w:szCs w:val="20"/>
          <w:u w:val="single"/>
        </w:rPr>
        <w:t>"</w:t>
      </w:r>
      <w:r>
        <w:rPr>
          <w:rStyle w:val="37"/>
          <w:rFonts w:hint="eastAsia" w:ascii="Times New Roman" w:hAnsi="宋体"/>
          <w:color w:val="000000"/>
          <w:sz w:val="20"/>
          <w:szCs w:val="20"/>
          <w:u w:val="single"/>
        </w:rPr>
        <w:t>时，打印出系统自动生成的《清华大学外国留学生研究生项目申请表》，由申请者本人签名，贴上</w:t>
      </w:r>
      <w:r>
        <w:rPr>
          <w:rStyle w:val="37"/>
          <w:rFonts w:ascii="Times New Roman" w:hAnsi="宋体"/>
          <w:color w:val="000000"/>
          <w:sz w:val="20"/>
          <w:szCs w:val="20"/>
          <w:u w:val="single"/>
        </w:rPr>
        <w:t>2</w:t>
      </w:r>
      <w:r>
        <w:rPr>
          <w:rStyle w:val="37"/>
          <w:rFonts w:hint="eastAsia" w:ascii="Times New Roman" w:hAnsi="宋体"/>
          <w:color w:val="000000"/>
          <w:sz w:val="20"/>
          <w:szCs w:val="20"/>
          <w:u w:val="single"/>
        </w:rPr>
        <w:t>寸近期照片</w:t>
      </w:r>
      <w:r>
        <w:rPr>
          <w:rStyle w:val="37"/>
          <w:rFonts w:hint="eastAsia" w:hAnsi="宋体"/>
          <w:color w:val="000000"/>
          <w:sz w:val="20"/>
          <w:szCs w:val="20"/>
          <w:u w:val="single"/>
        </w:rPr>
        <w:t>，连同其他申请材料提交至中国大使馆经商处；</w:t>
      </w:r>
    </w:p>
    <w:p>
      <w:pPr>
        <w:pStyle w:val="39"/>
        <w:widowControl/>
        <w:ind w:left="360" w:firstLine="400"/>
        <w:jc w:val="left"/>
        <w:rPr>
          <w:rStyle w:val="37"/>
          <w:rFonts w:hAnsi="宋体"/>
          <w:color w:val="000000"/>
          <w:sz w:val="20"/>
          <w:szCs w:val="20"/>
          <w:u w:val="single"/>
        </w:rPr>
      </w:pPr>
    </w:p>
    <w:p>
      <w:pPr>
        <w:widowControl/>
        <w:numPr>
          <w:ilvl w:val="0"/>
          <w:numId w:val="5"/>
        </w:numPr>
        <w:jc w:val="left"/>
        <w:rPr>
          <w:rStyle w:val="37"/>
          <w:sz w:val="20"/>
          <w:szCs w:val="20"/>
        </w:rPr>
      </w:pPr>
      <w:r>
        <w:rPr>
          <w:rStyle w:val="37"/>
          <w:rFonts w:hint="eastAsia"/>
          <w:color w:val="000000"/>
          <w:sz w:val="20"/>
          <w:szCs w:val="20"/>
        </w:rPr>
        <w:t>完成奖学金网上申请</w:t>
      </w:r>
      <w:r>
        <w:rPr>
          <w:rStyle w:val="37"/>
          <w:color w:val="000000"/>
          <w:sz w:val="20"/>
          <w:szCs w:val="20"/>
        </w:rPr>
        <w:t xml:space="preserve">: </w:t>
      </w:r>
    </w:p>
    <w:p>
      <w:pPr>
        <w:widowControl/>
        <w:ind w:left="360" w:firstLine="420" w:firstLineChars="200"/>
        <w:jc w:val="left"/>
        <w:rPr>
          <w:rStyle w:val="37"/>
          <w:sz w:val="20"/>
          <w:szCs w:val="20"/>
          <w:u w:val="single"/>
        </w:rPr>
      </w:pPr>
      <w:r>
        <w:fldChar w:fldCharType="begin"/>
      </w:r>
      <w:r>
        <w:instrText xml:space="preserve"> HYPERLINK "file:///E:\\SPPM-IMPA\\2013-2014学年IMPA\\IMPA\\2014预算\\援外培训项目汇总\\通过中国政府奖学金网上申请" </w:instrText>
      </w:r>
      <w:r>
        <w:fldChar w:fldCharType="separate"/>
      </w:r>
      <w:r>
        <w:rPr>
          <w:rStyle w:val="18"/>
          <w:rFonts w:hint="eastAsia" w:hAnsi="宋体"/>
          <w:sz w:val="20"/>
          <w:szCs w:val="20"/>
          <w:u w:val="single"/>
        </w:rPr>
        <w:t>通过中国政府奖学金网上申请</w:t>
      </w:r>
      <w:r>
        <w:rPr>
          <w:rStyle w:val="18"/>
          <w:rFonts w:hint="eastAsia" w:hAnsi="宋体"/>
          <w:sz w:val="20"/>
          <w:szCs w:val="20"/>
          <w:u w:val="single"/>
        </w:rPr>
        <w:fldChar w:fldCharType="end"/>
      </w:r>
      <w:r>
        <w:rPr>
          <w:rStyle w:val="37"/>
          <w:sz w:val="20"/>
          <w:szCs w:val="20"/>
          <w:u w:val="single"/>
        </w:rPr>
        <w:t>(</w:t>
      </w:r>
      <w:r>
        <w:fldChar w:fldCharType="begin"/>
      </w:r>
      <w:r>
        <w:instrText xml:space="preserve"> HYPERLINK "http://laihua.csc.edu.cn" </w:instrText>
      </w:r>
      <w:r>
        <w:fldChar w:fldCharType="separate"/>
      </w:r>
      <w:r>
        <w:rPr>
          <w:rStyle w:val="18"/>
          <w:sz w:val="20"/>
          <w:szCs w:val="20"/>
        </w:rPr>
        <w:t>http://laihua.csc.edu.cn</w:t>
      </w:r>
      <w:r>
        <w:rPr>
          <w:rStyle w:val="18"/>
          <w:sz w:val="20"/>
          <w:szCs w:val="20"/>
        </w:rPr>
        <w:fldChar w:fldCharType="end"/>
      </w:r>
      <w:r>
        <w:rPr>
          <w:rStyle w:val="37"/>
          <w:sz w:val="20"/>
          <w:szCs w:val="20"/>
          <w:u w:val="single"/>
        </w:rPr>
        <w:t>)</w:t>
      </w:r>
      <w:r>
        <w:rPr>
          <w:rFonts w:hint="eastAsia"/>
          <w:sz w:val="20"/>
          <w:szCs w:val="20"/>
          <w:u w:val="single"/>
        </w:rPr>
        <w:t>。</w:t>
      </w:r>
      <w:r>
        <w:rPr>
          <w:rStyle w:val="37"/>
          <w:rFonts w:hint="eastAsia"/>
          <w:sz w:val="20"/>
          <w:szCs w:val="20"/>
          <w:u w:val="single"/>
        </w:rPr>
        <w:t>清华大学代码为</w:t>
      </w:r>
      <w:r>
        <w:rPr>
          <w:rStyle w:val="37"/>
          <w:sz w:val="20"/>
          <w:szCs w:val="20"/>
          <w:u w:val="single"/>
        </w:rPr>
        <w:t>10003</w:t>
      </w:r>
      <w:r>
        <w:rPr>
          <w:rStyle w:val="37"/>
          <w:rFonts w:hint="eastAsia"/>
          <w:sz w:val="20"/>
          <w:szCs w:val="20"/>
          <w:u w:val="single"/>
        </w:rPr>
        <w:t>，打印出表格后，由申请者本人签名，贴上</w:t>
      </w:r>
      <w:r>
        <w:rPr>
          <w:rStyle w:val="37"/>
          <w:sz w:val="20"/>
          <w:szCs w:val="20"/>
          <w:u w:val="single"/>
        </w:rPr>
        <w:t>2</w:t>
      </w:r>
      <w:r>
        <w:rPr>
          <w:rStyle w:val="37"/>
          <w:rFonts w:hint="eastAsia"/>
          <w:sz w:val="20"/>
          <w:szCs w:val="20"/>
          <w:u w:val="single"/>
        </w:rPr>
        <w:t>寸近期照片，连同其他申请材料提交至中国大使馆经商处。</w:t>
      </w:r>
    </w:p>
    <w:p>
      <w:pPr>
        <w:widowControl/>
        <w:ind w:left="360" w:firstLine="400" w:firstLineChars="200"/>
        <w:jc w:val="left"/>
        <w:rPr>
          <w:rStyle w:val="37"/>
          <w:sz w:val="20"/>
          <w:szCs w:val="20"/>
          <w:u w:val="single"/>
        </w:rPr>
      </w:pPr>
    </w:p>
    <w:p>
      <w:pPr>
        <w:widowControl/>
        <w:numPr>
          <w:ilvl w:val="0"/>
          <w:numId w:val="5"/>
        </w:numPr>
        <w:jc w:val="left"/>
        <w:rPr>
          <w:rStyle w:val="37"/>
          <w:color w:val="000000"/>
          <w:sz w:val="20"/>
          <w:szCs w:val="20"/>
        </w:rPr>
      </w:pPr>
      <w:r>
        <w:rPr>
          <w:rStyle w:val="37"/>
          <w:rFonts w:hint="eastAsia" w:hAnsi="宋体"/>
          <w:color w:val="000000"/>
          <w:sz w:val="20"/>
          <w:szCs w:val="20"/>
        </w:rPr>
        <w:t>由申请人当前所在单位或组织向申请人本国中国大使馆经商处推荐并得到批准；</w:t>
      </w:r>
    </w:p>
    <w:p>
      <w:pPr>
        <w:widowControl/>
        <w:rPr>
          <w:sz w:val="20"/>
          <w:szCs w:val="20"/>
        </w:rPr>
      </w:pPr>
    </w:p>
    <w:p>
      <w:pPr>
        <w:pStyle w:val="9"/>
        <w:spacing w:line="300" w:lineRule="auto"/>
        <w:jc w:val="left"/>
        <w:rPr>
          <w:rFonts w:ascii="Times New Roman" w:hAnsi="宋体"/>
          <w:b/>
          <w:bCs/>
          <w:sz w:val="24"/>
          <w:szCs w:val="24"/>
        </w:rPr>
      </w:pPr>
      <w:r>
        <w:rPr>
          <w:rFonts w:hint="eastAsia" w:ascii="Times New Roman" w:hAnsi="宋体"/>
          <w:b/>
          <w:bCs/>
          <w:sz w:val="24"/>
          <w:szCs w:val="24"/>
        </w:rPr>
        <w:t>重要日期</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6"/>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5916" w:type="dxa"/>
            <w:vAlign w:val="center"/>
          </w:tcPr>
          <w:p>
            <w:pPr>
              <w:spacing w:beforeLines="50" w:afterLines="50"/>
              <w:jc w:val="center"/>
              <w:rPr>
                <w:b/>
              </w:rPr>
            </w:pPr>
            <w:r>
              <w:rPr>
                <w:rFonts w:hint="eastAsia"/>
                <w:b/>
              </w:rPr>
              <w:t>事项</w:t>
            </w:r>
          </w:p>
        </w:tc>
        <w:tc>
          <w:tcPr>
            <w:tcW w:w="2606" w:type="dxa"/>
            <w:vAlign w:val="center"/>
          </w:tcPr>
          <w:p>
            <w:pPr>
              <w:spacing w:beforeLines="50" w:afterLines="50"/>
              <w:jc w:val="center"/>
              <w:rPr>
                <w:b/>
                <w:u w:val="single"/>
              </w:rPr>
            </w:pPr>
            <w:r>
              <w:rPr>
                <w:rFonts w:hint="eastAsia"/>
                <w:b/>
                <w:u w:val="single"/>
              </w:rPr>
              <w:t>截止日期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5916" w:type="dxa"/>
            <w:vAlign w:val="center"/>
          </w:tcPr>
          <w:p>
            <w:pPr>
              <w:spacing w:beforeLines="50" w:afterLines="50"/>
            </w:pPr>
            <w:r>
              <w:rPr>
                <w:rFonts w:hint="eastAsia" w:hAnsi="宋体"/>
              </w:rPr>
              <w:t>收取申请材料截止日期</w:t>
            </w:r>
          </w:p>
        </w:tc>
        <w:tc>
          <w:tcPr>
            <w:tcW w:w="2606" w:type="dxa"/>
            <w:vAlign w:val="center"/>
          </w:tcPr>
          <w:p>
            <w:pPr>
              <w:spacing w:beforeLines="50" w:afterLines="50"/>
            </w:pPr>
            <w:r>
              <w:t>201</w:t>
            </w:r>
            <w:r>
              <w:rPr>
                <w:rFonts w:hint="eastAsia"/>
              </w:rPr>
              <w:t>5年</w:t>
            </w:r>
            <w:r>
              <w:t>1</w:t>
            </w:r>
            <w:r>
              <w:rPr>
                <w:rFonts w:hint="eastAsia"/>
              </w:rPr>
              <w:t>2月</w:t>
            </w:r>
            <w:r>
              <w:t>1</w:t>
            </w:r>
            <w:r>
              <w:rPr>
                <w:rFonts w:hint="eastAsia"/>
              </w:rPr>
              <w:t>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5916" w:type="dxa"/>
            <w:vAlign w:val="center"/>
          </w:tcPr>
          <w:p>
            <w:pPr>
              <w:spacing w:beforeLines="50" w:afterLines="50"/>
            </w:pPr>
            <w:r>
              <w:rPr>
                <w:rFonts w:hint="eastAsia" w:hAnsi="宋体"/>
              </w:rPr>
              <w:t>录取通知书及签证申请表（</w:t>
            </w:r>
            <w:r>
              <w:t>JW201</w:t>
            </w:r>
            <w:r>
              <w:rPr>
                <w:rFonts w:hint="eastAsia" w:hAnsi="宋体"/>
              </w:rPr>
              <w:t>）发放日期</w:t>
            </w:r>
            <w:r>
              <w:rPr>
                <w:rFonts w:hint="eastAsia"/>
              </w:rPr>
              <w:t>（</w:t>
            </w:r>
            <w:r>
              <w:rPr>
                <w:rFonts w:hint="eastAsia" w:hAnsi="宋体"/>
              </w:rPr>
              <w:t>以录取通知书上注明日期为准</w:t>
            </w:r>
            <w:r>
              <w:rPr>
                <w:rFonts w:hint="eastAsia"/>
              </w:rPr>
              <w:t>）</w:t>
            </w:r>
          </w:p>
        </w:tc>
        <w:tc>
          <w:tcPr>
            <w:tcW w:w="2606" w:type="dxa"/>
            <w:vAlign w:val="center"/>
          </w:tcPr>
          <w:p>
            <w:pPr>
              <w:spacing w:beforeLines="50" w:afterLines="50"/>
            </w:pPr>
            <w:r>
              <w:t>201</w:t>
            </w:r>
            <w:r>
              <w:rPr>
                <w:rFonts w:hint="eastAsia"/>
              </w:rPr>
              <w:t>6年</w:t>
            </w:r>
            <w:r>
              <w:t>1</w:t>
            </w:r>
            <w:r>
              <w:rPr>
                <w:rFonts w:hint="eastAsia"/>
              </w:rPr>
              <w:t>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Lines="50" w:afterLines="50"/>
            </w:pPr>
            <w:r>
              <w:rPr>
                <w:rFonts w:hint="eastAsia" w:hAnsi="宋体"/>
              </w:rPr>
              <w:t>报到注册日期</w:t>
            </w:r>
          </w:p>
        </w:tc>
        <w:tc>
          <w:tcPr>
            <w:tcW w:w="2606" w:type="dxa"/>
            <w:vAlign w:val="center"/>
          </w:tcPr>
          <w:p>
            <w:pPr>
              <w:spacing w:beforeLines="50" w:afterLines="50"/>
            </w:pPr>
            <w:r>
              <w:t>201</w:t>
            </w:r>
            <w:r>
              <w:rPr>
                <w:rFonts w:hint="eastAsia"/>
              </w:rPr>
              <w:t>6年</w:t>
            </w:r>
            <w:r>
              <w:t>2</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Lines="50" w:afterLines="50"/>
            </w:pPr>
            <w:r>
              <w:rPr>
                <w:rFonts w:hint="eastAsia"/>
              </w:rPr>
              <w:t>春季学期</w:t>
            </w:r>
          </w:p>
        </w:tc>
        <w:tc>
          <w:tcPr>
            <w:tcW w:w="2606" w:type="dxa"/>
            <w:vAlign w:val="center"/>
          </w:tcPr>
          <w:p>
            <w:pPr>
              <w:spacing w:beforeLines="50" w:afterLines="50"/>
            </w:pPr>
            <w:r>
              <w:t>201</w:t>
            </w:r>
            <w:r>
              <w:rPr>
                <w:rFonts w:hint="eastAsia"/>
              </w:rPr>
              <w:t>6年</w:t>
            </w:r>
            <w:r>
              <w:t>2</w:t>
            </w:r>
            <w:r>
              <w:rPr>
                <w:rFonts w:hint="eastAsia"/>
              </w:rPr>
              <w:t>月</w:t>
            </w:r>
            <w:r>
              <w:t>- 201</w:t>
            </w:r>
            <w:r>
              <w:rPr>
                <w:rFonts w:hint="eastAsia"/>
              </w:rPr>
              <w:t>6年</w:t>
            </w:r>
            <w:r>
              <w:t>6</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Lines="50" w:afterLines="50"/>
            </w:pPr>
            <w:r>
              <w:rPr>
                <w:rFonts w:hint="eastAsia"/>
              </w:rPr>
              <w:t>暑期课程</w:t>
            </w:r>
          </w:p>
        </w:tc>
        <w:tc>
          <w:tcPr>
            <w:tcW w:w="2606" w:type="dxa"/>
            <w:vAlign w:val="center"/>
          </w:tcPr>
          <w:p>
            <w:pPr>
              <w:spacing w:beforeLines="50" w:afterLines="50"/>
            </w:pPr>
            <w:r>
              <w:t>201</w:t>
            </w:r>
            <w:r>
              <w:rPr>
                <w:rFonts w:hint="eastAsia"/>
              </w:rPr>
              <w:t>6年</w:t>
            </w:r>
            <w:r>
              <w:t>7</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Lines="50" w:afterLines="50"/>
            </w:pPr>
            <w:r>
              <w:rPr>
                <w:rFonts w:hint="eastAsia"/>
              </w:rPr>
              <w:t>秋季学期</w:t>
            </w:r>
          </w:p>
        </w:tc>
        <w:tc>
          <w:tcPr>
            <w:tcW w:w="2606" w:type="dxa"/>
            <w:vAlign w:val="center"/>
          </w:tcPr>
          <w:p>
            <w:pPr>
              <w:spacing w:beforeLines="50" w:afterLines="50"/>
            </w:pPr>
            <w:r>
              <w:t>201</w:t>
            </w:r>
            <w:r>
              <w:rPr>
                <w:rFonts w:hint="eastAsia"/>
              </w:rPr>
              <w:t>6年</w:t>
            </w:r>
            <w:r>
              <w:t>8</w:t>
            </w:r>
            <w:r>
              <w:rPr>
                <w:rFonts w:hint="eastAsia"/>
              </w:rPr>
              <w:t>月</w:t>
            </w:r>
            <w:r>
              <w:t>-201</w:t>
            </w:r>
            <w:r>
              <w:rPr>
                <w:rFonts w:hint="eastAsia"/>
              </w:rPr>
              <w:t>6年</w:t>
            </w:r>
            <w:r>
              <w:t>12</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16" w:type="dxa"/>
            <w:vAlign w:val="center"/>
          </w:tcPr>
          <w:p>
            <w:pPr>
              <w:spacing w:beforeLines="50" w:afterLines="50"/>
            </w:pPr>
            <w:r>
              <w:rPr>
                <w:rFonts w:hint="eastAsia"/>
              </w:rPr>
              <w:t>离华归国</w:t>
            </w:r>
          </w:p>
        </w:tc>
        <w:tc>
          <w:tcPr>
            <w:tcW w:w="2606" w:type="dxa"/>
            <w:vAlign w:val="center"/>
          </w:tcPr>
          <w:p>
            <w:pPr>
              <w:spacing w:beforeLines="50" w:afterLines="50"/>
            </w:pPr>
            <w:r>
              <w:t>201</w:t>
            </w:r>
            <w:r>
              <w:rPr>
                <w:rFonts w:hint="eastAsia"/>
              </w:rPr>
              <w:t>7年</w:t>
            </w:r>
            <w:r>
              <w:t>1</w:t>
            </w:r>
            <w:r>
              <w:rPr>
                <w:rFonts w:hint="eastAsia"/>
              </w:rPr>
              <w:t>月</w:t>
            </w:r>
          </w:p>
        </w:tc>
      </w:tr>
    </w:tbl>
    <w:p>
      <w:pPr>
        <w:spacing w:beforeLines="50" w:afterLines="50"/>
      </w:pPr>
    </w:p>
    <w:p>
      <w:pPr>
        <w:pStyle w:val="9"/>
        <w:spacing w:line="300" w:lineRule="auto"/>
        <w:jc w:val="left"/>
        <w:rPr>
          <w:rFonts w:ascii="Times New Roman" w:hAnsi="Times New Roman"/>
          <w:b/>
          <w:bCs/>
          <w:sz w:val="24"/>
          <w:szCs w:val="24"/>
        </w:rPr>
      </w:pPr>
      <w:r>
        <w:rPr>
          <w:rFonts w:hint="eastAsia" w:ascii="Times New Roman" w:hAnsi="宋体"/>
          <w:b/>
          <w:bCs/>
          <w:sz w:val="24"/>
          <w:szCs w:val="24"/>
        </w:rPr>
        <w:t>奖学金</w:t>
      </w:r>
      <w:r>
        <w:rPr>
          <w:rFonts w:ascii="Times New Roman" w:hAnsi="Times New Roman"/>
          <w:b/>
          <w:bCs/>
          <w:sz w:val="24"/>
          <w:szCs w:val="24"/>
        </w:rPr>
        <w:t xml:space="preserve"> / </w:t>
      </w:r>
      <w:r>
        <w:rPr>
          <w:rFonts w:hint="eastAsia" w:ascii="Times New Roman" w:hAnsi="宋体"/>
          <w:b/>
          <w:bCs/>
          <w:sz w:val="24"/>
          <w:szCs w:val="24"/>
        </w:rPr>
        <w:t>学费</w:t>
      </w:r>
    </w:p>
    <w:p>
      <w:pPr>
        <w:pStyle w:val="9"/>
        <w:adjustRightInd w:val="0"/>
        <w:snapToGrid w:val="0"/>
        <w:spacing w:line="300" w:lineRule="auto"/>
        <w:rPr>
          <w:rStyle w:val="37"/>
          <w:rFonts w:ascii="Times New Roman" w:hAnsi="Times New Roman"/>
        </w:rPr>
      </w:pPr>
      <w:r>
        <w:rPr>
          <w:rStyle w:val="37"/>
          <w:rFonts w:hint="eastAsia" w:ascii="Times New Roman" w:hAnsi="宋体"/>
          <w:color w:val="000000"/>
          <w:sz w:val="20"/>
          <w:szCs w:val="20"/>
        </w:rPr>
        <w:t>学员将获得中国政府奖学金，该奖学金将包括以下内容：</w:t>
      </w:r>
      <w:r>
        <w:rPr>
          <w:rStyle w:val="37"/>
          <w:rFonts w:ascii="Times New Roman" w:hAnsi="Times New Roman"/>
        </w:rPr>
        <w:t> </w:t>
      </w:r>
    </w:p>
    <w:p>
      <w:pPr>
        <w:pStyle w:val="9"/>
        <w:numPr>
          <w:ilvl w:val="0"/>
          <w:numId w:val="6"/>
        </w:numPr>
        <w:adjustRightInd w:val="0"/>
        <w:snapToGrid w:val="0"/>
        <w:spacing w:line="300" w:lineRule="auto"/>
        <w:rPr>
          <w:rStyle w:val="37"/>
          <w:rFonts w:ascii="Times New Roman" w:hAnsi="Times New Roman"/>
        </w:rPr>
      </w:pPr>
      <w:r>
        <w:rPr>
          <w:rStyle w:val="37"/>
          <w:rFonts w:hint="eastAsia" w:ascii="Times New Roman" w:hAnsi="宋体"/>
          <w:color w:val="000000"/>
          <w:sz w:val="20"/>
          <w:szCs w:val="20"/>
        </w:rPr>
        <w:t>学费（由中国政府负责）</w:t>
      </w:r>
      <w:r>
        <w:rPr>
          <w:rStyle w:val="37"/>
          <w:rFonts w:ascii="Times New Roman" w:hAnsi="Times New Roman"/>
        </w:rPr>
        <w:t> </w:t>
      </w:r>
      <w:r>
        <w:rPr>
          <w:rStyle w:val="37"/>
          <w:rFonts w:hint="eastAsia" w:ascii="Times New Roman" w:hAnsi="宋体"/>
        </w:rPr>
        <w:t>；</w:t>
      </w:r>
    </w:p>
    <w:p>
      <w:pPr>
        <w:pStyle w:val="9"/>
        <w:numPr>
          <w:ilvl w:val="0"/>
          <w:numId w:val="6"/>
        </w:numPr>
        <w:adjustRightInd w:val="0"/>
        <w:snapToGrid w:val="0"/>
        <w:spacing w:line="300" w:lineRule="auto"/>
        <w:rPr>
          <w:rStyle w:val="37"/>
          <w:rFonts w:ascii="Times New Roman" w:hAnsi="Times New Roman"/>
        </w:rPr>
      </w:pPr>
      <w:r>
        <w:rPr>
          <w:rStyle w:val="37"/>
          <w:rFonts w:hint="eastAsia" w:ascii="Times New Roman" w:hAnsi="宋体"/>
          <w:color w:val="000000"/>
          <w:sz w:val="20"/>
          <w:szCs w:val="20"/>
        </w:rPr>
        <w:t>每月津贴：</w:t>
      </w:r>
      <w:r>
        <w:rPr>
          <w:rStyle w:val="37"/>
          <w:rFonts w:hint="eastAsia" w:ascii="Times New Roman" w:hAnsi="Times New Roman"/>
          <w:color w:val="000000"/>
          <w:sz w:val="20"/>
          <w:szCs w:val="20"/>
        </w:rPr>
        <w:t>2</w:t>
      </w:r>
      <w:r>
        <w:rPr>
          <w:rStyle w:val="37"/>
          <w:rFonts w:ascii="Times New Roman" w:hAnsi="Times New Roman"/>
          <w:color w:val="000000"/>
          <w:sz w:val="20"/>
          <w:szCs w:val="20"/>
        </w:rPr>
        <w:t>000</w:t>
      </w:r>
      <w:r>
        <w:rPr>
          <w:rStyle w:val="37"/>
          <w:rFonts w:hint="eastAsia" w:ascii="Times New Roman" w:hAnsi="宋体"/>
          <w:color w:val="000000"/>
          <w:sz w:val="20"/>
          <w:szCs w:val="20"/>
        </w:rPr>
        <w:t>元人民币；</w:t>
      </w:r>
    </w:p>
    <w:p>
      <w:pPr>
        <w:pStyle w:val="9"/>
        <w:numPr>
          <w:ilvl w:val="0"/>
          <w:numId w:val="6"/>
        </w:numPr>
        <w:adjustRightInd w:val="0"/>
        <w:snapToGrid w:val="0"/>
        <w:spacing w:line="300" w:lineRule="auto"/>
        <w:rPr>
          <w:rStyle w:val="37"/>
          <w:rFonts w:ascii="Times New Roman" w:hAnsi="Times New Roman"/>
        </w:rPr>
      </w:pPr>
      <w:r>
        <w:rPr>
          <w:rStyle w:val="37"/>
          <w:rFonts w:hint="eastAsia" w:ascii="Times New Roman" w:hAnsi="宋体"/>
          <w:color w:val="000000"/>
          <w:sz w:val="20"/>
          <w:szCs w:val="20"/>
        </w:rPr>
        <w:t>安家费：</w:t>
      </w:r>
      <w:r>
        <w:rPr>
          <w:rStyle w:val="37"/>
          <w:rFonts w:ascii="Times New Roman" w:hAnsi="Times New Roman"/>
          <w:color w:val="000000"/>
          <w:sz w:val="20"/>
          <w:szCs w:val="20"/>
        </w:rPr>
        <w:t>1500</w:t>
      </w:r>
      <w:r>
        <w:rPr>
          <w:rStyle w:val="37"/>
          <w:rFonts w:hint="eastAsia" w:ascii="Times New Roman" w:hAnsi="宋体"/>
          <w:color w:val="000000"/>
          <w:sz w:val="20"/>
          <w:szCs w:val="20"/>
        </w:rPr>
        <w:t>元</w:t>
      </w:r>
      <w:r>
        <w:rPr>
          <w:rStyle w:val="37"/>
          <w:rFonts w:ascii="Times New Roman" w:hAnsi="Times New Roman"/>
        </w:rPr>
        <w:t> </w:t>
      </w:r>
      <w:r>
        <w:rPr>
          <w:rStyle w:val="37"/>
          <w:rFonts w:hint="eastAsia" w:ascii="Times New Roman" w:hAnsi="宋体"/>
        </w:rPr>
        <w:t>；</w:t>
      </w:r>
    </w:p>
    <w:p>
      <w:pPr>
        <w:pStyle w:val="9"/>
        <w:numPr>
          <w:ilvl w:val="0"/>
          <w:numId w:val="6"/>
        </w:numPr>
        <w:adjustRightInd w:val="0"/>
        <w:snapToGrid w:val="0"/>
        <w:spacing w:line="300" w:lineRule="auto"/>
        <w:rPr>
          <w:rStyle w:val="37"/>
          <w:rFonts w:ascii="Times New Roman" w:hAnsi="Times New Roman"/>
          <w:color w:val="000000"/>
          <w:sz w:val="20"/>
          <w:szCs w:val="20"/>
        </w:rPr>
      </w:pPr>
      <w:r>
        <w:rPr>
          <w:rStyle w:val="37"/>
          <w:rFonts w:hint="eastAsia" w:ascii="Times New Roman" w:hAnsi="宋体"/>
          <w:color w:val="000000"/>
          <w:sz w:val="20"/>
          <w:szCs w:val="20"/>
        </w:rPr>
        <w:t>校内学生单间公寓；</w:t>
      </w:r>
    </w:p>
    <w:p>
      <w:pPr>
        <w:pStyle w:val="9"/>
        <w:numPr>
          <w:ilvl w:val="0"/>
          <w:numId w:val="6"/>
        </w:numPr>
        <w:adjustRightInd w:val="0"/>
        <w:snapToGrid w:val="0"/>
        <w:spacing w:line="300" w:lineRule="auto"/>
        <w:rPr>
          <w:rStyle w:val="37"/>
          <w:rFonts w:ascii="Times New Roman" w:hAnsi="宋体"/>
          <w:color w:val="000000"/>
          <w:sz w:val="20"/>
          <w:szCs w:val="20"/>
        </w:rPr>
      </w:pPr>
      <w:r>
        <w:rPr>
          <w:rStyle w:val="37"/>
          <w:rFonts w:hint="eastAsia" w:ascii="Times New Roman" w:hAnsi="宋体"/>
          <w:color w:val="000000"/>
          <w:sz w:val="20"/>
          <w:szCs w:val="20"/>
        </w:rPr>
        <w:t>社会实践；</w:t>
      </w:r>
    </w:p>
    <w:p>
      <w:pPr>
        <w:pStyle w:val="9"/>
        <w:numPr>
          <w:ilvl w:val="0"/>
          <w:numId w:val="6"/>
        </w:numPr>
        <w:adjustRightInd w:val="0"/>
        <w:snapToGrid w:val="0"/>
        <w:spacing w:line="300" w:lineRule="auto"/>
        <w:rPr>
          <w:rStyle w:val="37"/>
          <w:rFonts w:ascii="Times New Roman" w:hAnsi="Times New Roman"/>
        </w:rPr>
      </w:pPr>
      <w:r>
        <w:rPr>
          <w:rStyle w:val="37"/>
          <w:rFonts w:hint="eastAsia" w:ascii="Times New Roman" w:hAnsi="宋体"/>
          <w:color w:val="000000"/>
          <w:sz w:val="20"/>
          <w:szCs w:val="20"/>
        </w:rPr>
        <w:t>一次往返机票</w:t>
      </w:r>
      <w:r>
        <w:rPr>
          <w:rStyle w:val="37"/>
          <w:rFonts w:ascii="Times New Roman" w:hAnsi="Times New Roman"/>
        </w:rPr>
        <w:t> </w:t>
      </w:r>
      <w:r>
        <w:rPr>
          <w:rStyle w:val="37"/>
          <w:rFonts w:hint="eastAsia" w:ascii="Times New Roman" w:hAnsi="宋体"/>
        </w:rPr>
        <w:t>；</w:t>
      </w:r>
    </w:p>
    <w:p>
      <w:pPr>
        <w:pStyle w:val="9"/>
        <w:numPr>
          <w:ilvl w:val="0"/>
          <w:numId w:val="6"/>
        </w:numPr>
        <w:adjustRightInd w:val="0"/>
        <w:snapToGrid w:val="0"/>
        <w:spacing w:line="300" w:lineRule="auto"/>
        <w:rPr>
          <w:rStyle w:val="37"/>
          <w:rFonts w:ascii="Times New Roman" w:hAnsi="Times New Roman"/>
        </w:rPr>
      </w:pPr>
      <w:r>
        <w:rPr>
          <w:rStyle w:val="37"/>
          <w:rFonts w:hint="eastAsia" w:ascii="Times New Roman" w:hAnsi="宋体"/>
          <w:color w:val="000000"/>
          <w:sz w:val="20"/>
          <w:szCs w:val="20"/>
        </w:rPr>
        <w:t>医疗保险（保险品种为“平安养老保险股份有限公司来华人员综合保险保障计划”，包括住院医疗保险。具体保险内容参见</w:t>
      </w:r>
      <w:r>
        <w:fldChar w:fldCharType="begin"/>
      </w:r>
      <w:r>
        <w:instrText xml:space="preserve"> HYPERLINK "http://www.lxbx.net/tbzn/lxbx-tb01.html" </w:instrText>
      </w:r>
      <w:r>
        <w:fldChar w:fldCharType="separate"/>
      </w:r>
      <w:r>
        <w:rPr>
          <w:rStyle w:val="18"/>
          <w:rFonts w:hint="eastAsia" w:ascii="微软雅黑" w:hAnsi="微软雅黑" w:eastAsia="微软雅黑"/>
        </w:rPr>
        <w:t>http://www.lxbx.net/tbzn/lxbx-tb01.html</w:t>
      </w:r>
      <w:r>
        <w:rPr>
          <w:rStyle w:val="18"/>
          <w:rFonts w:hint="eastAsia" w:ascii="微软雅黑" w:hAnsi="微软雅黑" w:eastAsia="微软雅黑"/>
        </w:rPr>
        <w:fldChar w:fldCharType="end"/>
      </w:r>
      <w:r>
        <w:rPr>
          <w:rStyle w:val="37"/>
          <w:rFonts w:hint="eastAsia" w:ascii="Times New Roman" w:hAnsi="宋体"/>
          <w:color w:val="000000"/>
          <w:sz w:val="20"/>
          <w:szCs w:val="20"/>
        </w:rPr>
        <w:t>）</w:t>
      </w:r>
    </w:p>
    <w:p>
      <w:pPr>
        <w:pStyle w:val="9"/>
        <w:spacing w:line="300" w:lineRule="auto"/>
        <w:jc w:val="left"/>
        <w:rPr>
          <w:rFonts w:ascii="Times New Roman" w:hAnsi="Times New Roman"/>
          <w:b/>
          <w:bCs/>
          <w:sz w:val="24"/>
          <w:szCs w:val="24"/>
        </w:rPr>
      </w:pPr>
    </w:p>
    <w:p>
      <w:pPr>
        <w:pStyle w:val="9"/>
        <w:spacing w:line="300" w:lineRule="auto"/>
        <w:jc w:val="left"/>
        <w:rPr>
          <w:rFonts w:ascii="Times New Roman" w:hAnsi="Times New Roman"/>
          <w:b/>
          <w:bCs/>
          <w:sz w:val="24"/>
          <w:szCs w:val="24"/>
        </w:rPr>
      </w:pPr>
      <w:r>
        <w:rPr>
          <w:rFonts w:hint="eastAsia" w:ascii="Times New Roman" w:hAnsi="宋体"/>
          <w:b/>
          <w:bCs/>
          <w:sz w:val="24"/>
          <w:szCs w:val="24"/>
        </w:rPr>
        <w:t>联系信息</w:t>
      </w:r>
    </w:p>
    <w:p>
      <w:pPr>
        <w:spacing w:beforeLines="50" w:afterLines="50"/>
      </w:pPr>
      <w:r>
        <w:rPr>
          <w:rFonts w:hint="eastAsia" w:hAnsi="宋体"/>
        </w:rPr>
        <w:t>电话</w:t>
      </w:r>
      <w:r>
        <w:t>: (86)10-62795912</w:t>
      </w:r>
      <w:r>
        <w:br w:type="textWrapping"/>
      </w:r>
      <w:r>
        <w:rPr>
          <w:rFonts w:hint="eastAsia" w:hAnsi="宋体"/>
        </w:rPr>
        <w:t>传真</w:t>
      </w:r>
      <w:r>
        <w:t>: (86)10-62782853</w:t>
      </w:r>
      <w:r>
        <w:br w:type="textWrapping"/>
      </w:r>
      <w:r>
        <w:rPr>
          <w:rFonts w:hint="eastAsia" w:hAnsi="宋体"/>
        </w:rPr>
        <w:t>电子邮箱</w:t>
      </w:r>
      <w:r>
        <w:t>: impa</w:t>
      </w:r>
      <w:r>
        <w:fldChar w:fldCharType="begin"/>
      </w:r>
      <w:r>
        <w:instrText xml:space="preserve"> HYPERLINK "mailto:mid@tsinghua.edu.cn" </w:instrText>
      </w:r>
      <w:r>
        <w:fldChar w:fldCharType="separate"/>
      </w:r>
      <w:r>
        <w:t>@tsinghua.edu.cn</w:t>
      </w:r>
      <w:r>
        <w:fldChar w:fldCharType="end"/>
      </w:r>
      <w:r>
        <w:br w:type="textWrapping"/>
      </w:r>
      <w:r>
        <w:rPr>
          <w:rFonts w:hint="eastAsia" w:hAnsi="宋体"/>
        </w:rPr>
        <w:t>网址</w:t>
      </w:r>
      <w:r>
        <w:t xml:space="preserve">: </w:t>
      </w:r>
      <w:r>
        <w:fldChar w:fldCharType="begin"/>
      </w:r>
      <w:r>
        <w:instrText xml:space="preserve"> HYPERLINK "http://www.sppm.tsinghua.edu.cn" </w:instrText>
      </w:r>
      <w:r>
        <w:fldChar w:fldCharType="separate"/>
      </w:r>
      <w:r>
        <w:t>http://www.sppm.tsinghua.edu.cn</w:t>
      </w:r>
      <w:r>
        <w:fldChar w:fldCharType="end"/>
      </w:r>
      <w:r>
        <w:br w:type="textWrapping"/>
      </w:r>
      <w:r>
        <w:rPr>
          <w:rFonts w:hint="eastAsia" w:hAnsi="宋体"/>
        </w:rPr>
        <w:t>通讯地址</w:t>
      </w:r>
      <w:r>
        <w:t xml:space="preserve">: </w:t>
      </w:r>
      <w:r>
        <w:rPr>
          <w:rFonts w:hint="eastAsia" w:hAnsi="宋体"/>
        </w:rPr>
        <w:t>中国北京清华大学公共管理学院</w:t>
      </w:r>
      <w:r>
        <w:t>201</w:t>
      </w:r>
      <w:r>
        <w:rPr>
          <w:rFonts w:hint="eastAsia" w:hAnsi="宋体"/>
        </w:rPr>
        <w:t>室</w:t>
      </w:r>
    </w:p>
    <w:p>
      <w:pPr>
        <w:spacing w:beforeLines="50" w:afterLines="50"/>
      </w:pPr>
    </w:p>
    <w:p>
      <w:pPr>
        <w:spacing w:beforeLines="50" w:afterLines="50"/>
      </w:pPr>
      <w:r>
        <w:rPr>
          <w:rFonts w:hint="eastAsia" w:hAnsi="宋体"/>
        </w:rPr>
        <w:t>上述信息如有变更，解释权归清华大学公共管理学院所有。</w:t>
      </w:r>
    </w:p>
    <w:p>
      <w:pPr/>
      <w:r>
        <w:rPr>
          <w:rFonts w:hint="eastAsia" w:hAnsi="宋体"/>
        </w:rPr>
        <w:t>以上为翻译件，以英文版本为准。</w:t>
      </w:r>
    </w:p>
    <w:p>
      <w:pPr/>
    </w:p>
    <w:p>
      <w:pPr>
        <w:widowControl/>
        <w:jc w:val="left"/>
      </w:pPr>
      <w:r>
        <w:br w:type="page"/>
      </w:r>
    </w:p>
    <w:p>
      <w:pPr>
        <w:jc w:val="center"/>
      </w:pPr>
      <w:r>
        <w:drawing>
          <wp:inline distT="0" distB="0" distL="0" distR="0">
            <wp:extent cx="2438400" cy="2257425"/>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srcRect/>
                    <a:stretch>
                      <a:fillRect/>
                    </a:stretch>
                  </pic:blipFill>
                  <pic:spPr>
                    <a:xfrm>
                      <a:off x="0" y="0"/>
                      <a:ext cx="2438400" cy="2257425"/>
                    </a:xfrm>
                    <a:prstGeom prst="rect">
                      <a:avLst/>
                    </a:prstGeom>
                    <a:noFill/>
                    <a:ln w="9525">
                      <a:noFill/>
                      <a:miter lim="800000"/>
                      <a:headEnd/>
                      <a:tailEnd/>
                    </a:ln>
                  </pic:spPr>
                </pic:pic>
              </a:graphicData>
            </a:graphic>
          </wp:inline>
        </w:drawing>
      </w:r>
    </w:p>
    <w:p>
      <w:pPr>
        <w:jc w:val="center"/>
      </w:pPr>
    </w:p>
    <w:p>
      <w:pPr>
        <w:jc w:val="center"/>
        <w:rPr>
          <w:sz w:val="28"/>
          <w:szCs w:val="28"/>
        </w:rPr>
      </w:pPr>
      <w:r>
        <w:rPr>
          <w:sz w:val="28"/>
          <w:szCs w:val="28"/>
        </w:rPr>
        <w:t>International Master of Public Administration – IMPA 201</w:t>
      </w:r>
      <w:r>
        <w:rPr>
          <w:rFonts w:hint="eastAsia"/>
          <w:sz w:val="28"/>
          <w:szCs w:val="28"/>
        </w:rPr>
        <w:t>6</w:t>
      </w:r>
    </w:p>
    <w:p>
      <w:pPr>
        <w:jc w:val="center"/>
        <w:rPr>
          <w:sz w:val="28"/>
          <w:szCs w:val="28"/>
        </w:rPr>
      </w:pPr>
      <w:r>
        <w:rPr>
          <w:sz w:val="28"/>
          <w:szCs w:val="28"/>
        </w:rPr>
        <w:t>School of Public Policy and Management (SPPM)</w:t>
      </w:r>
    </w:p>
    <w:p>
      <w:pPr>
        <w:jc w:val="center"/>
        <w:rPr>
          <w:sz w:val="28"/>
          <w:szCs w:val="28"/>
        </w:rPr>
      </w:pPr>
      <w:r>
        <w:rPr>
          <w:sz w:val="28"/>
          <w:szCs w:val="28"/>
        </w:rPr>
        <w:t>Tsinghua University</w:t>
      </w:r>
    </w:p>
    <w:p>
      <w:pPr>
        <w:jc w:val="center"/>
        <w:rPr>
          <w:sz w:val="28"/>
          <w:szCs w:val="28"/>
        </w:rPr>
      </w:pPr>
    </w:p>
    <w:p>
      <w:pPr>
        <w:rPr>
          <w:sz w:val="28"/>
          <w:szCs w:val="28"/>
        </w:rPr>
      </w:pPr>
      <w:r>
        <w:rPr>
          <w:sz w:val="28"/>
          <w:szCs w:val="28"/>
        </w:rPr>
        <w:t>I - Program Introduction</w:t>
      </w:r>
    </w:p>
    <w:p>
      <w:pPr>
        <w:rPr>
          <w:sz w:val="28"/>
          <w:szCs w:val="28"/>
        </w:rPr>
      </w:pPr>
    </w:p>
    <w:p>
      <w:pPr>
        <w:rPr>
          <w:sz w:val="28"/>
          <w:szCs w:val="28"/>
        </w:rPr>
      </w:pPr>
      <w:r>
        <w:rPr>
          <w:sz w:val="28"/>
          <w:szCs w:val="28"/>
        </w:rPr>
        <w:t>II - Curriculum</w:t>
      </w:r>
    </w:p>
    <w:p>
      <w:pPr>
        <w:rPr>
          <w:sz w:val="28"/>
          <w:szCs w:val="28"/>
        </w:rPr>
      </w:pPr>
    </w:p>
    <w:p>
      <w:pPr>
        <w:rPr>
          <w:sz w:val="28"/>
          <w:szCs w:val="28"/>
        </w:rPr>
      </w:pPr>
      <w:r>
        <w:rPr>
          <w:sz w:val="28"/>
          <w:szCs w:val="28"/>
        </w:rPr>
        <w:t>III - Course Description</w:t>
      </w:r>
    </w:p>
    <w:p>
      <w:pPr>
        <w:rPr>
          <w:sz w:val="28"/>
          <w:szCs w:val="28"/>
        </w:rPr>
      </w:pPr>
    </w:p>
    <w:p>
      <w:pPr>
        <w:rPr>
          <w:sz w:val="28"/>
          <w:szCs w:val="28"/>
        </w:rPr>
      </w:pPr>
      <w:r>
        <w:rPr>
          <w:sz w:val="28"/>
          <w:szCs w:val="28"/>
        </w:rPr>
        <w:t>IV - Current Faculty</w:t>
      </w:r>
    </w:p>
    <w:p>
      <w:pPr>
        <w:rPr>
          <w:sz w:val="28"/>
          <w:szCs w:val="28"/>
        </w:rPr>
      </w:pPr>
    </w:p>
    <w:p>
      <w:pPr>
        <w:rPr>
          <w:sz w:val="28"/>
          <w:szCs w:val="28"/>
        </w:rPr>
      </w:pPr>
      <w:r>
        <w:rPr>
          <w:sz w:val="28"/>
          <w:szCs w:val="28"/>
        </w:rPr>
        <w:t>V – Admission Information</w:t>
      </w:r>
    </w:p>
    <w:p>
      <w:pPr/>
    </w:p>
    <w:p>
      <w:pPr/>
    </w:p>
    <w:p>
      <w:pPr/>
    </w:p>
    <w:p>
      <w:pPr/>
    </w:p>
    <w:p>
      <w:pPr/>
    </w:p>
    <w:p>
      <w:pPr>
        <w:pStyle w:val="9"/>
        <w:adjustRightInd w:val="0"/>
        <w:snapToGrid w:val="0"/>
        <w:rPr>
          <w:rFonts w:ascii="Times New Roman" w:hAnsi="Times New Roman"/>
          <w:b/>
          <w:bCs/>
          <w:sz w:val="28"/>
          <w:szCs w:val="28"/>
        </w:rPr>
      </w:pPr>
      <w:r>
        <w:rPr>
          <w:rFonts w:ascii="Times New Roman" w:hAnsi="Times New Roman"/>
          <w:b/>
          <w:bCs/>
          <w:sz w:val="28"/>
          <w:szCs w:val="28"/>
        </w:rPr>
        <w:t>I - Program Introduction</w:t>
      </w:r>
    </w:p>
    <w:p>
      <w:pPr>
        <w:pStyle w:val="9"/>
        <w:adjustRightInd w:val="0"/>
        <w:snapToGrid w:val="0"/>
        <w:rPr>
          <w:rFonts w:ascii="Times New Roman" w:hAnsi="Times New Roman"/>
          <w:b/>
          <w:bCs/>
          <w:sz w:val="24"/>
          <w:szCs w:val="24"/>
        </w:rPr>
      </w:pPr>
    </w:p>
    <w:p>
      <w:pPr>
        <w:ind w:firstLine="480" w:firstLineChars="200"/>
        <w:rPr>
          <w:sz w:val="24"/>
          <w:szCs w:val="24"/>
        </w:rPr>
      </w:pPr>
      <w:r>
        <w:rPr>
          <w:sz w:val="24"/>
          <w:szCs w:val="24"/>
        </w:rPr>
        <w:t>The International Master of Public Administration (IMPA) program is a one-year English degree program offered by the School of Public Policy and Management (SPPM) at Tsinghua University. It is designed for government officials from developing countries and focuses on enhancing cooperation and exchanges between those countries and China. It aims to expand participants’ ability to apply public administrative theories and tools, gain a better understanding of China’s development practices and build leadership skills necessary for problem-solving in developing and transition countries. The IMPA program is taught entirely in English.</w:t>
      </w:r>
    </w:p>
    <w:p>
      <w:pPr>
        <w:ind w:firstLine="480" w:firstLineChars="200"/>
        <w:rPr>
          <w:sz w:val="24"/>
          <w:szCs w:val="24"/>
        </w:rPr>
      </w:pPr>
    </w:p>
    <w:p>
      <w:pPr>
        <w:ind w:firstLine="480" w:firstLineChars="200"/>
        <w:rPr>
          <w:sz w:val="24"/>
          <w:szCs w:val="24"/>
        </w:rPr>
      </w:pPr>
      <w:r>
        <w:rPr>
          <w:sz w:val="24"/>
          <w:szCs w:val="24"/>
        </w:rPr>
        <w:t>SPPM is regarded as one of the pioneers of public administration education in China. Its mission is to provide academic and professional training programs in public management, to pursue academic excellence as well as the practical application of public policy and innovative management research. The IMPA program was launched in fall 2008 in order to share the successes and lessons of China’s development experiences and to make contributions to the practice of international development.</w:t>
      </w:r>
    </w:p>
    <w:p>
      <w:pPr>
        <w:ind w:firstLine="480" w:firstLineChars="200"/>
        <w:rPr>
          <w:sz w:val="24"/>
          <w:szCs w:val="24"/>
        </w:rPr>
      </w:pPr>
    </w:p>
    <w:p>
      <w:pPr>
        <w:ind w:firstLine="480" w:firstLineChars="200"/>
        <w:rPr>
          <w:sz w:val="24"/>
          <w:szCs w:val="24"/>
        </w:rPr>
      </w:pPr>
      <w:r>
        <w:rPr>
          <w:sz w:val="24"/>
          <w:szCs w:val="24"/>
        </w:rPr>
        <w:t>The current IMPA class of 201</w:t>
      </w:r>
      <w:r>
        <w:rPr>
          <w:rFonts w:hint="eastAsia"/>
          <w:sz w:val="24"/>
          <w:szCs w:val="24"/>
        </w:rPr>
        <w:t>5</w:t>
      </w:r>
      <w:r>
        <w:rPr>
          <w:sz w:val="24"/>
          <w:szCs w:val="24"/>
        </w:rPr>
        <w:t xml:space="preserve"> brings together 3</w:t>
      </w:r>
      <w:r>
        <w:rPr>
          <w:rFonts w:hint="eastAsia"/>
          <w:sz w:val="24"/>
          <w:szCs w:val="24"/>
        </w:rPr>
        <w:t>3</w:t>
      </w:r>
      <w:r>
        <w:rPr>
          <w:sz w:val="24"/>
          <w:szCs w:val="24"/>
        </w:rPr>
        <w:t xml:space="preserve"> students from 12 African countries, </w:t>
      </w:r>
      <w:r>
        <w:rPr>
          <w:rFonts w:hint="eastAsia"/>
          <w:sz w:val="24"/>
          <w:szCs w:val="24"/>
        </w:rPr>
        <w:t>5</w:t>
      </w:r>
      <w:r>
        <w:rPr>
          <w:sz w:val="24"/>
          <w:szCs w:val="24"/>
        </w:rPr>
        <w:t xml:space="preserve"> Asian countr</w:t>
      </w:r>
      <w:r>
        <w:rPr>
          <w:rFonts w:hint="eastAsia"/>
          <w:sz w:val="24"/>
          <w:szCs w:val="24"/>
        </w:rPr>
        <w:t xml:space="preserve">ies, 1 Central American country, </w:t>
      </w:r>
      <w:r>
        <w:rPr>
          <w:sz w:val="24"/>
          <w:szCs w:val="24"/>
        </w:rPr>
        <w:t>2 South American countries and one Oceania country. The inaugural IMPA class of 2008 brought together 35 students from 5 Asian countries and 12 African countries; the IMPA class of 2009 enrolled 36 students from 6 Asian countries and 20 African countries; and the IMPA class of 2010 produced 38 students from 7 Asian countries and 27 African countries; the IMPA class of 2011 brought together 27 students from 6 Asian countries and 12 African countries; and the IMPA class of 2012 enrolled 32 students from 8 African countries, 6 Asian countries, one North American country, one South American country and one Oceania country. The IMPA class of 2013 had 30 students from 15 African countries, 3 Asian countries, 2 European countries, 3 North American countries, one South American country and two Oceania countries. The IMPA class of 201</w:t>
      </w:r>
      <w:r>
        <w:rPr>
          <w:rFonts w:hint="eastAsia"/>
          <w:sz w:val="24"/>
          <w:szCs w:val="24"/>
        </w:rPr>
        <w:t>4</w:t>
      </w:r>
      <w:r>
        <w:rPr>
          <w:sz w:val="24"/>
          <w:szCs w:val="24"/>
        </w:rPr>
        <w:t xml:space="preserve"> had 3</w:t>
      </w:r>
      <w:r>
        <w:rPr>
          <w:rFonts w:hint="eastAsia"/>
          <w:sz w:val="24"/>
          <w:szCs w:val="24"/>
        </w:rPr>
        <w:t>1</w:t>
      </w:r>
      <w:r>
        <w:rPr>
          <w:sz w:val="24"/>
          <w:szCs w:val="24"/>
        </w:rPr>
        <w:t xml:space="preserve"> students from 1</w:t>
      </w:r>
      <w:r>
        <w:rPr>
          <w:rFonts w:hint="eastAsia"/>
          <w:sz w:val="24"/>
          <w:szCs w:val="24"/>
        </w:rPr>
        <w:t>6</w:t>
      </w:r>
      <w:r>
        <w:rPr>
          <w:sz w:val="24"/>
          <w:szCs w:val="24"/>
        </w:rPr>
        <w:t xml:space="preserve"> African countries, </w:t>
      </w:r>
      <w:r>
        <w:rPr>
          <w:rFonts w:hint="eastAsia"/>
          <w:sz w:val="24"/>
          <w:szCs w:val="24"/>
        </w:rPr>
        <w:t>1</w:t>
      </w:r>
      <w:r>
        <w:rPr>
          <w:sz w:val="24"/>
          <w:szCs w:val="24"/>
        </w:rPr>
        <w:t xml:space="preserve"> Asian countr</w:t>
      </w:r>
      <w:r>
        <w:rPr>
          <w:rFonts w:hint="eastAsia"/>
          <w:sz w:val="24"/>
          <w:szCs w:val="24"/>
        </w:rPr>
        <w:t>y</w:t>
      </w:r>
      <w:r>
        <w:rPr>
          <w:sz w:val="24"/>
          <w:szCs w:val="24"/>
        </w:rPr>
        <w:t xml:space="preserve">, 2 European countries, </w:t>
      </w:r>
      <w:r>
        <w:rPr>
          <w:rFonts w:hint="eastAsia"/>
          <w:sz w:val="24"/>
          <w:szCs w:val="24"/>
        </w:rPr>
        <w:t>2</w:t>
      </w:r>
      <w:r>
        <w:rPr>
          <w:sz w:val="24"/>
          <w:szCs w:val="24"/>
        </w:rPr>
        <w:t xml:space="preserve"> South American countr</w:t>
      </w:r>
      <w:r>
        <w:rPr>
          <w:rFonts w:hint="eastAsia"/>
          <w:sz w:val="24"/>
          <w:szCs w:val="24"/>
        </w:rPr>
        <w:t>ies</w:t>
      </w:r>
      <w:r>
        <w:rPr>
          <w:sz w:val="24"/>
          <w:szCs w:val="24"/>
        </w:rPr>
        <w:t xml:space="preserve"> and two Oceania countr</w:t>
      </w:r>
      <w:r>
        <w:rPr>
          <w:rFonts w:hint="eastAsia"/>
          <w:sz w:val="24"/>
          <w:szCs w:val="24"/>
        </w:rPr>
        <w:t>y</w:t>
      </w:r>
      <w:r>
        <w:rPr>
          <w:sz w:val="24"/>
          <w:szCs w:val="24"/>
        </w:rPr>
        <w:t xml:space="preserve">. Students’ average age is 35, and around 80% of the students are government officials while the rest are from educational institutions. Students have the opportunity to engage with Chinese students and teachers in various activities and events. Active participation is strongly encouraged to develop future networks for cooperation. </w:t>
      </w:r>
    </w:p>
    <w:p>
      <w:pPr>
        <w:pStyle w:val="14"/>
        <w:jc w:val="both"/>
        <w:rPr>
          <w:rFonts w:ascii="Times New Roman" w:hAnsi="Times New Roman" w:cs="Times New Roman"/>
          <w:b/>
          <w:i/>
          <w:color w:val="000000"/>
          <w:kern w:val="2"/>
          <w:sz w:val="24"/>
          <w:szCs w:val="24"/>
        </w:rPr>
      </w:pPr>
      <w:r>
        <w:rPr>
          <w:rFonts w:ascii="Times New Roman" w:hAnsi="Times New Roman" w:cs="Times New Roman"/>
          <w:b/>
          <w:i/>
          <w:color w:val="000000"/>
          <w:kern w:val="2"/>
          <w:sz w:val="24"/>
          <w:szCs w:val="24"/>
        </w:rPr>
        <w:t>Student Background Profile</w:t>
      </w:r>
    </w:p>
    <w:p>
      <w:pPr>
        <w:pStyle w:val="14"/>
        <w:ind w:firstLine="480" w:firstLineChars="200"/>
        <w:jc w:val="both"/>
        <w:rPr>
          <w:rFonts w:ascii="Times New Roman" w:hAnsi="Times New Roman" w:cs="Times New Roman"/>
          <w:color w:val="FF0000"/>
          <w:kern w:val="2"/>
          <w:sz w:val="24"/>
          <w:szCs w:val="24"/>
        </w:rPr>
      </w:pPr>
    </w:p>
    <w:p>
      <w:pPr>
        <w:pStyle w:val="14"/>
        <w:ind w:firstLine="480" w:firstLineChars="200"/>
        <w:jc w:val="both"/>
        <w:rPr>
          <w:rFonts w:ascii="Times New Roman" w:hAnsi="Times New Roman" w:cs="Times New Roman"/>
          <w:kern w:val="2"/>
          <w:sz w:val="24"/>
          <w:szCs w:val="24"/>
        </w:rPr>
      </w:pPr>
      <w:r>
        <w:rPr>
          <w:rFonts w:ascii="Times New Roman" w:hAnsi="Times New Roman" w:cs="Times New Roman"/>
          <w:kern w:val="2"/>
          <w:sz w:val="24"/>
          <w:szCs w:val="24"/>
        </w:rPr>
        <w:t>By September 201</w:t>
      </w:r>
      <w:r>
        <w:rPr>
          <w:rFonts w:hint="eastAsia" w:ascii="Times New Roman" w:hAnsi="Times New Roman" w:cs="Times New Roman"/>
          <w:kern w:val="2"/>
          <w:sz w:val="24"/>
          <w:szCs w:val="24"/>
        </w:rPr>
        <w:t>5</w:t>
      </w:r>
      <w:r>
        <w:rPr>
          <w:rFonts w:ascii="Times New Roman" w:hAnsi="Times New Roman" w:cs="Times New Roman"/>
          <w:kern w:val="2"/>
          <w:sz w:val="24"/>
          <w:szCs w:val="24"/>
        </w:rPr>
        <w:t xml:space="preserve">, the IMPA program has produced </w:t>
      </w:r>
      <w:r>
        <w:rPr>
          <w:rFonts w:hint="eastAsia" w:ascii="Times New Roman" w:hAnsi="Times New Roman" w:cs="Times New Roman"/>
          <w:kern w:val="2"/>
          <w:sz w:val="24"/>
          <w:szCs w:val="24"/>
        </w:rPr>
        <w:t>228</w:t>
      </w:r>
      <w:r>
        <w:rPr>
          <w:rFonts w:ascii="Times New Roman" w:hAnsi="Times New Roman" w:cs="Times New Roman"/>
          <w:kern w:val="2"/>
          <w:sz w:val="24"/>
          <w:szCs w:val="24"/>
        </w:rPr>
        <w:t xml:space="preserve"> graduates with qualified public administration expertise, who have passion to use their knowledge in practices and governance of their own countries. In 201</w:t>
      </w:r>
      <w:r>
        <w:rPr>
          <w:rFonts w:hint="eastAsia" w:ascii="Times New Roman" w:hAnsi="Times New Roman" w:cs="Times New Roman"/>
          <w:kern w:val="2"/>
          <w:sz w:val="24"/>
          <w:szCs w:val="24"/>
        </w:rPr>
        <w:t>5</w:t>
      </w:r>
      <w:r>
        <w:rPr>
          <w:rFonts w:ascii="Times New Roman" w:hAnsi="Times New Roman" w:cs="Times New Roman"/>
          <w:kern w:val="2"/>
          <w:sz w:val="24"/>
          <w:szCs w:val="24"/>
        </w:rPr>
        <w:t>, 3</w:t>
      </w:r>
      <w:r>
        <w:rPr>
          <w:rFonts w:hint="eastAsia" w:ascii="Times New Roman" w:hAnsi="Times New Roman" w:cs="Times New Roman"/>
          <w:kern w:val="2"/>
          <w:sz w:val="24"/>
          <w:szCs w:val="24"/>
        </w:rPr>
        <w:t xml:space="preserve">5 </w:t>
      </w:r>
      <w:r>
        <w:rPr>
          <w:rFonts w:ascii="Times New Roman" w:hAnsi="Times New Roman" w:cs="Times New Roman"/>
          <w:kern w:val="2"/>
          <w:sz w:val="24"/>
          <w:szCs w:val="24"/>
        </w:rPr>
        <w:t>students have been enrolled, over 80% of who are government officials from various high-level ministries and departments.</w:t>
      </w:r>
    </w:p>
    <w:p>
      <w:pPr>
        <w:pStyle w:val="14"/>
        <w:jc w:val="both"/>
        <w:rPr>
          <w:rFonts w:ascii="Times New Roman" w:hAnsi="Times New Roman" w:cs="Times New Roman"/>
          <w:color w:val="000000"/>
          <w:kern w:val="2"/>
          <w:sz w:val="24"/>
          <w:szCs w:val="24"/>
        </w:rPr>
      </w:pPr>
      <w:r>
        <w:rPr>
          <w:rFonts w:ascii="Times New Roman" w:hAnsi="Times New Roman" w:cs="Times New Roman"/>
          <w:color w:val="000000"/>
          <w:kern w:val="2"/>
          <w:sz w:val="24"/>
          <w:szCs w:val="24"/>
        </w:rPr>
        <w:drawing>
          <wp:inline distT="0" distB="0" distL="0" distR="0">
            <wp:extent cx="5274310" cy="2608580"/>
            <wp:effectExtent l="19050" t="0" r="21590" b="1153"/>
            <wp:docPr id="16"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pStyle w:val="14"/>
        <w:ind w:firstLine="480" w:firstLineChars="200"/>
        <w:jc w:val="both"/>
        <w:rPr>
          <w:rFonts w:ascii="Times New Roman" w:hAnsi="Times New Roman" w:cs="Times New Roman"/>
          <w:color w:val="000000"/>
          <w:kern w:val="2"/>
          <w:sz w:val="24"/>
          <w:szCs w:val="24"/>
        </w:rPr>
      </w:pPr>
    </w:p>
    <w:p>
      <w:pPr>
        <w:pStyle w:val="14"/>
        <w:ind w:firstLine="480" w:firstLineChars="200"/>
        <w:jc w:val="both"/>
        <w:rPr>
          <w:rFonts w:ascii="Times New Roman" w:hAnsi="Times New Roman" w:cs="Times New Roman"/>
          <w:color w:val="000000"/>
          <w:kern w:val="2"/>
          <w:sz w:val="24"/>
          <w:szCs w:val="24"/>
        </w:rPr>
      </w:pPr>
      <w:r>
        <w:rPr>
          <w:rFonts w:ascii="Times New Roman" w:hAnsi="Times New Roman" w:cs="Times New Roman"/>
          <w:color w:val="000000"/>
          <w:kern w:val="2"/>
          <w:sz w:val="24"/>
          <w:szCs w:val="24"/>
        </w:rPr>
        <w:t>By now, the IMPA program has enrolled 2</w:t>
      </w:r>
      <w:r>
        <w:rPr>
          <w:rFonts w:hint="eastAsia" w:ascii="Times New Roman" w:hAnsi="Times New Roman" w:cs="Times New Roman"/>
          <w:color w:val="000000"/>
          <w:kern w:val="2"/>
          <w:sz w:val="24"/>
          <w:szCs w:val="24"/>
        </w:rPr>
        <w:t>64</w:t>
      </w:r>
      <w:r>
        <w:rPr>
          <w:rFonts w:ascii="Times New Roman" w:hAnsi="Times New Roman" w:cs="Times New Roman"/>
          <w:color w:val="000000"/>
          <w:kern w:val="2"/>
          <w:sz w:val="24"/>
          <w:szCs w:val="24"/>
        </w:rPr>
        <w:t xml:space="preserve"> students from 39 African countries, </w:t>
      </w:r>
      <w:r>
        <w:rPr>
          <w:rFonts w:hint="eastAsia" w:ascii="Times New Roman" w:hAnsi="Times New Roman" w:cs="Times New Roman"/>
          <w:color w:val="000000"/>
          <w:kern w:val="2"/>
          <w:sz w:val="24"/>
          <w:szCs w:val="24"/>
        </w:rPr>
        <w:t>20</w:t>
      </w:r>
      <w:r>
        <w:rPr>
          <w:rFonts w:ascii="Times New Roman" w:hAnsi="Times New Roman" w:cs="Times New Roman"/>
          <w:color w:val="000000"/>
          <w:kern w:val="2"/>
          <w:sz w:val="24"/>
          <w:szCs w:val="24"/>
        </w:rPr>
        <w:t xml:space="preserve"> Asian countries, 2 Oceania countr</w:t>
      </w:r>
      <w:r>
        <w:rPr>
          <w:rFonts w:hint="eastAsia" w:ascii="Times New Roman" w:hAnsi="Times New Roman" w:cs="Times New Roman"/>
          <w:color w:val="000000"/>
          <w:kern w:val="2"/>
          <w:sz w:val="24"/>
          <w:szCs w:val="24"/>
        </w:rPr>
        <w:t>ies</w:t>
      </w:r>
      <w:r>
        <w:rPr>
          <w:rFonts w:ascii="Times New Roman" w:hAnsi="Times New Roman" w:cs="Times New Roman"/>
          <w:color w:val="000000"/>
          <w:kern w:val="2"/>
          <w:sz w:val="24"/>
          <w:szCs w:val="24"/>
        </w:rPr>
        <w:t xml:space="preserve">, </w:t>
      </w:r>
      <w:r>
        <w:rPr>
          <w:rFonts w:hint="eastAsia" w:ascii="Times New Roman" w:hAnsi="Times New Roman" w:cs="Times New Roman"/>
          <w:color w:val="000000"/>
          <w:kern w:val="2"/>
          <w:sz w:val="24"/>
          <w:szCs w:val="24"/>
        </w:rPr>
        <w:t>3</w:t>
      </w:r>
      <w:r>
        <w:rPr>
          <w:rFonts w:ascii="Times New Roman" w:hAnsi="Times New Roman" w:cs="Times New Roman"/>
          <w:color w:val="000000"/>
          <w:kern w:val="2"/>
          <w:sz w:val="24"/>
          <w:szCs w:val="24"/>
        </w:rPr>
        <w:t xml:space="preserve"> North American countries, 3 South American countries and 3 European countries.</w:t>
      </w:r>
    </w:p>
    <w:p>
      <w:pPr>
        <w:rPr>
          <w:b/>
          <w:i/>
          <w:sz w:val="24"/>
          <w:szCs w:val="24"/>
        </w:rPr>
      </w:pPr>
      <w:r>
        <w:rPr>
          <w:b/>
          <w:i/>
          <w:sz w:val="24"/>
          <w:szCs w:val="24"/>
        </w:rPr>
        <w:drawing>
          <wp:inline distT="0" distB="0" distL="0" distR="0">
            <wp:extent cx="5274310" cy="2981325"/>
            <wp:effectExtent l="19050" t="0" r="2159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rPr>
          <w:b/>
          <w:i/>
          <w:sz w:val="24"/>
          <w:szCs w:val="24"/>
        </w:rPr>
      </w:pPr>
      <w:r>
        <w:rPr>
          <w:b/>
          <w:i/>
          <w:sz w:val="24"/>
          <w:szCs w:val="24"/>
        </w:rPr>
        <w:t>Program Impact</w:t>
      </w:r>
    </w:p>
    <w:p>
      <w:pPr>
        <w:rPr>
          <w:sz w:val="24"/>
          <w:szCs w:val="24"/>
        </w:rPr>
      </w:pPr>
      <w:r>
        <w:rPr>
          <w:sz w:val="24"/>
          <w:szCs w:val="24"/>
        </w:rPr>
        <w:drawing>
          <wp:inline distT="0" distB="0" distL="0" distR="0">
            <wp:extent cx="5276850" cy="2796540"/>
            <wp:effectExtent l="0" t="0" r="0" b="3232"/>
            <wp:docPr id="8" name="图片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pPr>
        <w:rPr>
          <w:b/>
          <w:i/>
          <w:sz w:val="24"/>
          <w:szCs w:val="24"/>
        </w:rPr>
      </w:pPr>
      <w:r>
        <w:rPr>
          <w:b/>
          <w:i/>
          <w:sz w:val="24"/>
          <w:szCs w:val="24"/>
        </w:rPr>
        <w:t>Student Remarks</w:t>
      </w:r>
    </w:p>
    <w:p>
      <w:pPr>
        <w:rPr>
          <w:b/>
          <w:i/>
          <w:sz w:val="24"/>
          <w:szCs w:val="24"/>
        </w:rPr>
      </w:pPr>
    </w:p>
    <w:p>
      <w:pPr>
        <w:widowControl/>
        <w:rPr>
          <w:kern w:val="0"/>
          <w:sz w:val="24"/>
          <w:szCs w:val="24"/>
        </w:rPr>
      </w:pPr>
      <w:r>
        <w:rPr>
          <w:kern w:val="0"/>
          <w:sz w:val="24"/>
          <w:szCs w:val="24"/>
        </w:rPr>
        <w:t>"The high standards of scholarship and the superlative intellectual environment were particularly outstanding."</w:t>
      </w:r>
    </w:p>
    <w:p>
      <w:pPr>
        <w:widowControl/>
        <w:rPr>
          <w:kern w:val="0"/>
          <w:sz w:val="24"/>
          <w:szCs w:val="24"/>
        </w:rPr>
      </w:pPr>
    </w:p>
    <w:p>
      <w:pPr>
        <w:widowControl/>
        <w:rPr>
          <w:kern w:val="0"/>
          <w:sz w:val="24"/>
          <w:szCs w:val="24"/>
        </w:rPr>
      </w:pPr>
      <w:r>
        <w:rPr>
          <w:kern w:val="0"/>
          <w:sz w:val="24"/>
          <w:szCs w:val="24"/>
        </w:rPr>
        <w:t>"I remain indebted to Tsinghua University and its entire infrastructure without which I would not have achieved the academic prowess and the confidence I enjoy today."</w:t>
      </w:r>
    </w:p>
    <w:p>
      <w:pPr>
        <w:widowControl/>
        <w:rPr>
          <w:kern w:val="0"/>
          <w:sz w:val="24"/>
          <w:szCs w:val="24"/>
        </w:rPr>
      </w:pPr>
    </w:p>
    <w:p>
      <w:pPr>
        <w:widowControl/>
        <w:rPr>
          <w:kern w:val="0"/>
          <w:sz w:val="24"/>
          <w:szCs w:val="24"/>
        </w:rPr>
      </w:pPr>
      <w:r>
        <w:rPr>
          <w:kern w:val="0"/>
          <w:sz w:val="24"/>
          <w:szCs w:val="24"/>
        </w:rPr>
        <w:t>"My training in Tsinghua (SPPM) was a great revelation in terms of the knowledge that it bequeathed on me and the cultural understanding of all the people I interacted with both in and out of class."</w:t>
      </w:r>
    </w:p>
    <w:p>
      <w:pPr>
        <w:widowControl/>
        <w:rPr>
          <w:kern w:val="0"/>
          <w:sz w:val="24"/>
          <w:szCs w:val="24"/>
        </w:rPr>
      </w:pPr>
      <w:r>
        <w:rPr>
          <w:kern w:val="0"/>
          <w:sz w:val="24"/>
          <w:szCs w:val="24"/>
        </w:rPr>
        <w:t> </w:t>
      </w:r>
    </w:p>
    <w:p>
      <w:pPr>
        <w:pStyle w:val="39"/>
        <w:widowControl/>
        <w:numPr>
          <w:ilvl w:val="0"/>
          <w:numId w:val="7"/>
        </w:numPr>
        <w:ind w:firstLineChars="0"/>
        <w:rPr>
          <w:rFonts w:ascii="Times New Roman" w:hAnsi="Times New Roman"/>
          <w:kern w:val="0"/>
          <w:sz w:val="24"/>
          <w:szCs w:val="24"/>
        </w:rPr>
      </w:pPr>
      <w:r>
        <w:rPr>
          <w:rFonts w:ascii="Times New Roman" w:hAnsi="Times New Roman"/>
          <w:kern w:val="0"/>
          <w:sz w:val="24"/>
          <w:szCs w:val="24"/>
        </w:rPr>
        <w:t>Ochillo Oyugi, IMPA2008, District Commissioner/Deputy Provincial Commissioner, Government of Kenya</w:t>
      </w:r>
    </w:p>
    <w:p>
      <w:pPr>
        <w:widowControl/>
        <w:rPr>
          <w:kern w:val="0"/>
          <w:sz w:val="24"/>
          <w:szCs w:val="24"/>
        </w:rPr>
      </w:pPr>
    </w:p>
    <w:p>
      <w:pPr>
        <w:widowControl/>
        <w:rPr>
          <w:kern w:val="0"/>
          <w:sz w:val="24"/>
          <w:szCs w:val="24"/>
        </w:rPr>
      </w:pPr>
    </w:p>
    <w:p>
      <w:pPr>
        <w:widowControl/>
        <w:rPr>
          <w:kern w:val="0"/>
          <w:sz w:val="24"/>
          <w:szCs w:val="24"/>
        </w:rPr>
      </w:pPr>
      <w:r>
        <w:rPr>
          <w:kern w:val="0"/>
          <w:sz w:val="24"/>
          <w:szCs w:val="24"/>
        </w:rPr>
        <w:t>"My education at Tsinghua has been a treasured learning environment; not only has my experience been academically empowering but it has also exposed me to a multicultural environment."</w:t>
      </w:r>
    </w:p>
    <w:p>
      <w:pPr>
        <w:widowControl/>
        <w:rPr>
          <w:kern w:val="0"/>
          <w:sz w:val="24"/>
          <w:szCs w:val="24"/>
        </w:rPr>
      </w:pPr>
    </w:p>
    <w:p>
      <w:pPr>
        <w:widowControl/>
        <w:rPr>
          <w:kern w:val="0"/>
          <w:sz w:val="24"/>
          <w:szCs w:val="24"/>
        </w:rPr>
      </w:pPr>
      <w:r>
        <w:rPr>
          <w:kern w:val="0"/>
          <w:sz w:val="24"/>
          <w:szCs w:val="24"/>
        </w:rPr>
        <w:t>"I still envision pursuing these studies in my career development. It has greatly strengthened my professional confidence in whatever environment."</w:t>
      </w:r>
    </w:p>
    <w:p>
      <w:pPr>
        <w:widowControl/>
        <w:rPr>
          <w:kern w:val="0"/>
          <w:sz w:val="24"/>
          <w:szCs w:val="24"/>
        </w:rPr>
      </w:pPr>
    </w:p>
    <w:p>
      <w:pPr>
        <w:pStyle w:val="39"/>
        <w:widowControl/>
        <w:numPr>
          <w:ilvl w:val="0"/>
          <w:numId w:val="8"/>
        </w:numPr>
        <w:ind w:firstLineChars="0"/>
        <w:rPr>
          <w:rFonts w:ascii="Times New Roman" w:hAnsi="Times New Roman"/>
          <w:kern w:val="0"/>
          <w:sz w:val="24"/>
          <w:szCs w:val="24"/>
        </w:rPr>
      </w:pPr>
      <w:r>
        <w:rPr>
          <w:rFonts w:ascii="Times New Roman" w:hAnsi="Times New Roman"/>
          <w:kern w:val="0"/>
          <w:sz w:val="24"/>
          <w:szCs w:val="24"/>
        </w:rPr>
        <w:t>Edward Kadozi, IMPA2009, Program Specialist, Ministry of Foreign Affairs and Cooperation</w:t>
      </w:r>
    </w:p>
    <w:p>
      <w:pPr>
        <w:pStyle w:val="39"/>
        <w:widowControl/>
        <w:ind w:left="360" w:firstLine="0" w:firstLineChars="0"/>
        <w:rPr>
          <w:rFonts w:ascii="Times New Roman" w:hAnsi="Times New Roman"/>
          <w:kern w:val="0"/>
          <w:sz w:val="24"/>
          <w:szCs w:val="24"/>
        </w:rPr>
      </w:pPr>
    </w:p>
    <w:p>
      <w:pPr>
        <w:pStyle w:val="39"/>
        <w:widowControl/>
        <w:ind w:left="360" w:firstLine="0" w:firstLineChars="0"/>
        <w:rPr>
          <w:rFonts w:ascii="Times New Roman" w:hAnsi="Times New Roman"/>
          <w:kern w:val="0"/>
          <w:sz w:val="24"/>
          <w:szCs w:val="24"/>
        </w:rPr>
      </w:pPr>
    </w:p>
    <w:p>
      <w:pPr>
        <w:widowControl/>
        <w:rPr>
          <w:kern w:val="0"/>
          <w:sz w:val="24"/>
          <w:szCs w:val="24"/>
        </w:rPr>
      </w:pPr>
      <w:r>
        <w:rPr>
          <w:kern w:val="0"/>
          <w:sz w:val="24"/>
          <w:szCs w:val="24"/>
        </w:rPr>
        <w:t>“</w:t>
      </w:r>
      <w:r>
        <w:rPr>
          <w:kern w:val="0"/>
          <w:sz w:val="24"/>
          <w:szCs w:val="24"/>
          <w:lang w:eastAsia="en-US"/>
        </w:rPr>
        <w:t>Indeed to our Professors for their tireless efforts in imparting Public Administration skills, knowledge and attitudes to us not only theoretically but also practically.</w:t>
      </w:r>
      <w:r>
        <w:rPr>
          <w:kern w:val="0"/>
          <w:sz w:val="24"/>
          <w:szCs w:val="24"/>
        </w:rPr>
        <w:t>”</w:t>
      </w:r>
    </w:p>
    <w:p>
      <w:pPr>
        <w:widowControl/>
        <w:spacing w:after="200"/>
        <w:rPr>
          <w:kern w:val="0"/>
          <w:sz w:val="24"/>
          <w:szCs w:val="24"/>
        </w:rPr>
      </w:pPr>
      <w:r>
        <w:rPr>
          <w:kern w:val="0"/>
          <w:sz w:val="24"/>
          <w:szCs w:val="24"/>
        </w:rPr>
        <w:t>“</w:t>
      </w:r>
      <w:r>
        <w:rPr>
          <w:kern w:val="0"/>
          <w:sz w:val="24"/>
          <w:szCs w:val="24"/>
          <w:lang w:eastAsia="en-US"/>
        </w:rPr>
        <w:t>We have the obligation to save our Nations as Public Administrators and also correct misconceptions about China out there.</w:t>
      </w:r>
      <w:r>
        <w:rPr>
          <w:kern w:val="0"/>
          <w:sz w:val="24"/>
          <w:szCs w:val="24"/>
        </w:rPr>
        <w:t>”</w:t>
      </w:r>
    </w:p>
    <w:p>
      <w:pPr>
        <w:widowControl/>
        <w:rPr>
          <w:kern w:val="0"/>
          <w:sz w:val="24"/>
          <w:szCs w:val="24"/>
          <w:lang w:eastAsia="en-US"/>
        </w:rPr>
      </w:pPr>
      <w:r>
        <w:rPr>
          <w:kern w:val="0"/>
          <w:sz w:val="24"/>
          <w:szCs w:val="24"/>
        </w:rPr>
        <w:t>“</w:t>
      </w:r>
      <w:r>
        <w:rPr>
          <w:kern w:val="0"/>
          <w:sz w:val="24"/>
          <w:szCs w:val="24"/>
          <w:lang w:eastAsia="en-US"/>
        </w:rPr>
        <w:t>All protocols observed; since every journey starts with a step, we promise to serve our countries much better now after acquiring this Masters Degree in Public Administration because we will be dreaming in colors and not in Black &amp; White as we used to when we were coming for this program.”</w:t>
      </w:r>
    </w:p>
    <w:p>
      <w:pPr>
        <w:widowControl/>
        <w:rPr>
          <w:kern w:val="0"/>
          <w:sz w:val="24"/>
          <w:szCs w:val="24"/>
          <w:lang w:eastAsia="en-US"/>
        </w:rPr>
      </w:pPr>
    </w:p>
    <w:p>
      <w:pPr>
        <w:widowControl/>
        <w:rPr>
          <w:kern w:val="0"/>
          <w:sz w:val="24"/>
          <w:szCs w:val="24"/>
          <w:lang w:eastAsia="en-US"/>
        </w:rPr>
      </w:pPr>
      <w:r>
        <w:rPr>
          <w:kern w:val="0"/>
          <w:sz w:val="24"/>
          <w:szCs w:val="24"/>
          <w:lang w:eastAsia="en-US"/>
        </w:rPr>
        <w:t xml:space="preserve">—Christopher Yotamu Mchenga, IMPA2010, HRM Director, Ministry of Development Planning, Malawi </w:t>
      </w:r>
    </w:p>
    <w:p>
      <w:pPr>
        <w:widowControl/>
        <w:rPr>
          <w:kern w:val="0"/>
          <w:sz w:val="24"/>
          <w:szCs w:val="24"/>
          <w:lang w:eastAsia="en-US"/>
        </w:rPr>
      </w:pPr>
    </w:p>
    <w:p>
      <w:pPr>
        <w:widowControl/>
        <w:rPr>
          <w:kern w:val="0"/>
          <w:sz w:val="24"/>
          <w:szCs w:val="24"/>
          <w:lang w:eastAsia="en-US"/>
        </w:rPr>
      </w:pPr>
    </w:p>
    <w:p>
      <w:pPr>
        <w:widowControl/>
        <w:rPr>
          <w:kern w:val="0"/>
          <w:sz w:val="24"/>
          <w:szCs w:val="24"/>
        </w:rPr>
      </w:pPr>
      <w:r>
        <w:rPr>
          <w:kern w:val="0"/>
          <w:sz w:val="24"/>
          <w:szCs w:val="24"/>
        </w:rPr>
        <w:t xml:space="preserve">“The IMPA program </w:t>
      </w:r>
      <w:r>
        <w:rPr>
          <w:kern w:val="0"/>
          <w:sz w:val="24"/>
          <w:szCs w:val="24"/>
          <w:lang w:eastAsia="en-US"/>
        </w:rPr>
        <w:t>provided me a opportunities to learn more on public administrative theories and tools, public policy, leadership, problem solving and gain a better understanding of China’s reform, politic, development practice and culture. Moreover, this is a diversified program that enables me to learn on cross-culture and build the network and friendship with cross-professional participant countries and China. Hence, the connectivity and networking among the IMPA-SPPM’s alumni who are promising future next generation leaders of each country will be the core element and catalyst for promoting mutual benefit cooperation between each participant country as well as with China.</w:t>
      </w:r>
      <w:r>
        <w:rPr>
          <w:kern w:val="0"/>
          <w:sz w:val="24"/>
          <w:szCs w:val="24"/>
        </w:rPr>
        <w:t>”</w:t>
      </w:r>
    </w:p>
    <w:p>
      <w:pPr>
        <w:widowControl/>
        <w:rPr>
          <w:kern w:val="0"/>
          <w:sz w:val="24"/>
          <w:szCs w:val="24"/>
        </w:rPr>
      </w:pPr>
    </w:p>
    <w:p>
      <w:pPr>
        <w:widowControl/>
        <w:rPr>
          <w:kern w:val="0"/>
          <w:sz w:val="24"/>
          <w:szCs w:val="24"/>
        </w:rPr>
      </w:pPr>
      <w:r>
        <w:rPr>
          <w:kern w:val="0"/>
          <w:sz w:val="24"/>
          <w:szCs w:val="24"/>
          <w:lang w:eastAsia="en-US"/>
        </w:rPr>
        <w:t>—</w:t>
      </w:r>
      <w:r>
        <w:rPr>
          <w:kern w:val="0"/>
          <w:sz w:val="24"/>
          <w:szCs w:val="24"/>
        </w:rPr>
        <w:t>Rukhaphal Tes</w:t>
      </w:r>
      <w:r>
        <w:rPr>
          <w:kern w:val="0"/>
          <w:sz w:val="24"/>
          <w:szCs w:val="24"/>
          <w:lang w:eastAsia="en-US"/>
        </w:rPr>
        <w:t xml:space="preserve">, IMPA2011, </w:t>
      </w:r>
      <w:r>
        <w:rPr>
          <w:kern w:val="0"/>
          <w:sz w:val="24"/>
          <w:szCs w:val="24"/>
        </w:rPr>
        <w:t>Deputy Secretary General, Economic, Social and Cultural Council, Office of the Council of Ministers, Cambodia</w:t>
      </w:r>
    </w:p>
    <w:p>
      <w:pPr>
        <w:widowControl/>
        <w:rPr>
          <w:kern w:val="0"/>
          <w:sz w:val="24"/>
          <w:szCs w:val="24"/>
        </w:rPr>
      </w:pPr>
    </w:p>
    <w:p>
      <w:pPr>
        <w:widowControl/>
        <w:rPr>
          <w:kern w:val="0"/>
          <w:sz w:val="24"/>
          <w:szCs w:val="24"/>
        </w:rPr>
      </w:pPr>
    </w:p>
    <w:p>
      <w:pPr>
        <w:rPr>
          <w:kern w:val="0"/>
          <w:sz w:val="24"/>
          <w:szCs w:val="24"/>
        </w:rPr>
      </w:pPr>
      <w:r>
        <w:rPr>
          <w:kern w:val="0"/>
          <w:sz w:val="24"/>
          <w:szCs w:val="24"/>
        </w:rPr>
        <w:t>“</w:t>
      </w:r>
      <w:r>
        <w:rPr>
          <w:kern w:val="0"/>
          <w:sz w:val="24"/>
          <w:szCs w:val="24"/>
          <w:lang w:eastAsia="en-US"/>
        </w:rPr>
        <w:t>I learnt that education is a life-long practice, for we are never too old or young, rich or poor, and clever or maladroit, not to learn something new.  I gained invaluable knowledge on China's development and current international principles of public sector governance, to contribute to my country's development. At Tsinghua our diversity from the 18+1countries metamorphous into one international culture of friendship reinforced in our education that all human beings share a common past and future. These lessons,</w:t>
      </w:r>
      <w:r>
        <w:rPr>
          <w:kern w:val="0"/>
          <w:sz w:val="24"/>
          <w:szCs w:val="24"/>
        </w:rPr>
        <w:t xml:space="preserve"> I </w:t>
      </w:r>
      <w:r>
        <w:rPr>
          <w:kern w:val="0"/>
          <w:sz w:val="24"/>
          <w:szCs w:val="24"/>
          <w:lang w:eastAsia="en-US"/>
        </w:rPr>
        <w:t xml:space="preserve">take with me, and whenever, I miss my wonderful friends, lecturers, IMPA staff, and beautiful Beijing, I will softly hum the beautiful words of the song, </w:t>
      </w:r>
      <w:r>
        <w:rPr>
          <w:kern w:val="0"/>
          <w:sz w:val="24"/>
          <w:szCs w:val="24"/>
        </w:rPr>
        <w:t>‘</w:t>
      </w:r>
      <w:r>
        <w:rPr>
          <w:kern w:val="0"/>
          <w:sz w:val="24"/>
          <w:szCs w:val="24"/>
          <w:lang w:eastAsia="en-US"/>
        </w:rPr>
        <w:t>Peng You</w:t>
      </w:r>
      <w:r>
        <w:rPr>
          <w:kern w:val="0"/>
          <w:sz w:val="24"/>
          <w:szCs w:val="24"/>
        </w:rPr>
        <w:t>’,</w:t>
      </w:r>
      <w:r>
        <w:rPr>
          <w:kern w:val="0"/>
          <w:sz w:val="24"/>
          <w:szCs w:val="24"/>
          <w:lang w:eastAsia="en-US"/>
        </w:rPr>
        <w:t xml:space="preserve"> and steadfastly continue into the new future.</w:t>
      </w:r>
      <w:r>
        <w:rPr>
          <w:kern w:val="0"/>
          <w:sz w:val="24"/>
          <w:szCs w:val="24"/>
        </w:rPr>
        <w:t>”</w:t>
      </w:r>
    </w:p>
    <w:p>
      <w:pPr>
        <w:rPr>
          <w:kern w:val="0"/>
          <w:sz w:val="24"/>
          <w:szCs w:val="24"/>
        </w:rPr>
      </w:pPr>
    </w:p>
    <w:p>
      <w:pPr>
        <w:pStyle w:val="39"/>
        <w:numPr>
          <w:ilvl w:val="0"/>
          <w:numId w:val="8"/>
        </w:numPr>
        <w:ind w:firstLineChars="0"/>
        <w:rPr>
          <w:rFonts w:ascii="Times New Roman" w:hAnsi="Times New Roman"/>
          <w:kern w:val="0"/>
          <w:sz w:val="24"/>
          <w:szCs w:val="24"/>
          <w:lang w:eastAsia="en-US"/>
        </w:rPr>
      </w:pPr>
      <w:r>
        <w:rPr>
          <w:rFonts w:ascii="Times New Roman" w:hAnsi="Times New Roman"/>
          <w:kern w:val="0"/>
          <w:sz w:val="24"/>
          <w:szCs w:val="24"/>
          <w:lang w:eastAsia="en-US"/>
        </w:rPr>
        <w:t>Moses Pakote, IMPA2012, Director, Ministry of Trade and Industry</w:t>
      </w:r>
      <w:r>
        <w:rPr>
          <w:rFonts w:ascii="Times New Roman" w:hAnsi="Times New Roman"/>
          <w:kern w:val="0"/>
          <w:sz w:val="24"/>
          <w:szCs w:val="24"/>
        </w:rPr>
        <w:t>, Namibia</w:t>
      </w:r>
    </w:p>
    <w:p>
      <w:pPr>
        <w:pStyle w:val="39"/>
        <w:ind w:left="360" w:firstLine="0" w:firstLineChars="0"/>
        <w:rPr>
          <w:rFonts w:ascii="Times New Roman" w:hAnsi="Times New Roman"/>
          <w:kern w:val="0"/>
          <w:sz w:val="24"/>
          <w:szCs w:val="24"/>
          <w:lang w:eastAsia="en-US"/>
        </w:rPr>
      </w:pPr>
    </w:p>
    <w:p>
      <w:pPr>
        <w:rPr>
          <w:kern w:val="0"/>
          <w:sz w:val="24"/>
          <w:szCs w:val="24"/>
          <w:lang w:eastAsia="en-US"/>
        </w:rPr>
      </w:pPr>
      <w:r>
        <w:rPr>
          <w:kern w:val="0"/>
          <w:sz w:val="24"/>
          <w:szCs w:val="24"/>
          <w:lang w:eastAsia="en-US"/>
        </w:rPr>
        <w:t>“My warmest greetings to Tsinghua University, Professors, SPPM Staffs, China Government, classmates and all friends. It is an honor to share this important moment in my life. Our graduation is certainly an achievement, but there's a lot more to come: goals, challenges, and opportunities! Anything is possible when you just believe in and hard working. The quality knowledge provided reshaped me, increased working capacity on planning, administration as well as a good policy issues. I believe Tsinghua University provides quality education.”</w:t>
      </w:r>
    </w:p>
    <w:p>
      <w:pPr>
        <w:widowControl/>
        <w:rPr>
          <w:kern w:val="0"/>
          <w:sz w:val="24"/>
          <w:szCs w:val="24"/>
          <w:lang w:eastAsia="en-US"/>
        </w:rPr>
      </w:pPr>
    </w:p>
    <w:p>
      <w:pPr>
        <w:rPr>
          <w:kern w:val="0"/>
          <w:sz w:val="24"/>
          <w:szCs w:val="24"/>
          <w:lang w:eastAsia="en-US"/>
        </w:rPr>
      </w:pPr>
      <w:r>
        <w:rPr>
          <w:rFonts w:hint="eastAsia"/>
          <w:kern w:val="0"/>
          <w:sz w:val="24"/>
          <w:szCs w:val="24"/>
          <w:lang w:eastAsia="en-US"/>
        </w:rPr>
        <w:t>—</w:t>
      </w:r>
      <w:r>
        <w:rPr>
          <w:kern w:val="0"/>
          <w:sz w:val="24"/>
          <w:szCs w:val="24"/>
          <w:lang w:eastAsia="en-US"/>
        </w:rPr>
        <w:t>RASHID, SALUM KHAMIS, IMPA2013, Head of Macroeconomic Division</w:t>
      </w:r>
      <w:r>
        <w:rPr>
          <w:rFonts w:hint="eastAsia"/>
          <w:kern w:val="0"/>
          <w:sz w:val="24"/>
          <w:szCs w:val="24"/>
        </w:rPr>
        <w:t>,</w:t>
      </w:r>
      <w:r>
        <w:rPr>
          <w:kern w:val="0"/>
          <w:sz w:val="24"/>
          <w:szCs w:val="24"/>
          <w:lang w:eastAsia="en-US"/>
        </w:rPr>
        <w:t xml:space="preserve"> Senior Economist, President Office, Zanzibar, Tanzania</w:t>
      </w:r>
    </w:p>
    <w:p>
      <w:pPr>
        <w:pStyle w:val="9"/>
        <w:adjustRightInd w:val="0"/>
        <w:snapToGrid w:val="0"/>
        <w:spacing w:line="300" w:lineRule="auto"/>
        <w:rPr>
          <w:rFonts w:ascii="Times New Roman" w:hAnsi="Times New Roman"/>
          <w:b/>
          <w:bCs/>
          <w:sz w:val="30"/>
          <w:szCs w:val="30"/>
        </w:rPr>
      </w:pPr>
    </w:p>
    <w:p>
      <w:pPr>
        <w:pStyle w:val="9"/>
        <w:adjustRightInd w:val="0"/>
        <w:snapToGrid w:val="0"/>
        <w:spacing w:line="300" w:lineRule="auto"/>
        <w:rPr>
          <w:rFonts w:ascii="Times New Roman" w:hAnsi="Times New Roman"/>
          <w:b/>
          <w:bCs/>
          <w:sz w:val="28"/>
          <w:szCs w:val="28"/>
        </w:rPr>
      </w:pPr>
    </w:p>
    <w:p>
      <w:pPr>
        <w:pStyle w:val="9"/>
        <w:adjustRightInd w:val="0"/>
        <w:snapToGrid w:val="0"/>
        <w:spacing w:line="300" w:lineRule="auto"/>
        <w:rPr>
          <w:rFonts w:ascii="Times New Roman" w:hAnsi="Times New Roman"/>
          <w:b/>
          <w:bCs/>
          <w:sz w:val="28"/>
          <w:szCs w:val="28"/>
        </w:rPr>
      </w:pPr>
      <w:r>
        <w:rPr>
          <w:rFonts w:ascii="Times New Roman" w:hAnsi="Times New Roman"/>
          <w:b/>
          <w:bCs/>
          <w:sz w:val="28"/>
          <w:szCs w:val="28"/>
        </w:rPr>
        <w:t xml:space="preserve">II - IMPA Curriculum </w:t>
      </w:r>
    </w:p>
    <w:p>
      <w:pPr>
        <w:pStyle w:val="9"/>
        <w:adjustRightInd w:val="0"/>
        <w:snapToGrid w:val="0"/>
        <w:spacing w:line="300" w:lineRule="auto"/>
        <w:rPr>
          <w:rFonts w:ascii="Times New Roman" w:hAnsi="Times New Roman"/>
          <w:b/>
          <w:bCs/>
          <w:sz w:val="24"/>
          <w:szCs w:val="24"/>
        </w:rPr>
      </w:pPr>
    </w:p>
    <w:p>
      <w:pPr>
        <w:pStyle w:val="9"/>
        <w:jc w:val="left"/>
        <w:rPr>
          <w:rFonts w:ascii="Times New Roman" w:hAnsi="Times New Roman"/>
          <w:b/>
          <w:bCs/>
          <w:sz w:val="24"/>
          <w:szCs w:val="24"/>
        </w:rPr>
      </w:pPr>
      <w:r>
        <w:rPr>
          <w:rFonts w:ascii="Times New Roman" w:hAnsi="Times New Roman"/>
          <w:b/>
          <w:bCs/>
          <w:sz w:val="24"/>
          <w:szCs w:val="24"/>
        </w:rPr>
        <w:t>Course Requirements</w:t>
      </w:r>
    </w:p>
    <w:p>
      <w:pPr>
        <w:pStyle w:val="9"/>
        <w:ind w:firstLine="480" w:firstLineChars="200"/>
        <w:rPr>
          <w:rFonts w:ascii="Times New Roman" w:hAnsi="Times New Roman"/>
          <w:sz w:val="24"/>
          <w:szCs w:val="24"/>
        </w:rPr>
      </w:pPr>
      <w:r>
        <w:rPr>
          <w:rFonts w:ascii="Times New Roman" w:hAnsi="Times New Roman"/>
          <w:sz w:val="24"/>
          <w:szCs w:val="24"/>
        </w:rPr>
        <w:t>The IMPA program consists of two semesters of full-time academic work, with a minimum course requirement of 30 credits to complete the degree, including the public required course (Chinese Language), 2 credits; core courses, 12 credits; electives, no less than 12 credits; practical training, 4 credits.</w:t>
      </w:r>
    </w:p>
    <w:p>
      <w:pPr>
        <w:pStyle w:val="9"/>
        <w:rPr>
          <w:rFonts w:ascii="Times New Roman" w:hAnsi="Times New Roman"/>
          <w:sz w:val="24"/>
          <w:szCs w:val="24"/>
        </w:rPr>
      </w:pPr>
    </w:p>
    <w:p>
      <w:pPr>
        <w:pStyle w:val="9"/>
        <w:rPr>
          <w:rFonts w:ascii="Times New Roman" w:hAnsi="Times New Roman"/>
          <w:sz w:val="24"/>
          <w:szCs w:val="24"/>
        </w:rPr>
      </w:pPr>
    </w:p>
    <w:p>
      <w:pPr>
        <w:pStyle w:val="9"/>
        <w:spacing w:line="300" w:lineRule="auto"/>
        <w:rPr>
          <w:rFonts w:ascii="Times New Roman" w:hAnsi="Times New Roman"/>
          <w:b/>
          <w:bCs/>
          <w:sz w:val="24"/>
          <w:szCs w:val="24"/>
        </w:rPr>
      </w:pPr>
      <w:r>
        <w:rPr>
          <w:rFonts w:ascii="Times New Roman" w:hAnsi="Times New Roman"/>
          <w:b/>
          <w:bCs/>
          <w:sz w:val="24"/>
          <w:szCs w:val="24"/>
        </w:rPr>
        <w:t>Curriculum (30 credits)</w:t>
      </w:r>
    </w:p>
    <w:p>
      <w:pPr>
        <w:pStyle w:val="9"/>
        <w:spacing w:line="300" w:lineRule="auto"/>
        <w:rPr>
          <w:rFonts w:ascii="Times New Roman" w:hAnsi="Times New Roman"/>
          <w:sz w:val="24"/>
          <w:szCs w:val="24"/>
        </w:rPr>
      </w:pPr>
    </w:p>
    <w:tbl>
      <w:tblPr>
        <w:tblStyle w:val="20"/>
        <w:tblW w:w="8616" w:type="dxa"/>
        <w:tblInd w:w="-106" w:type="dxa"/>
        <w:tblLayout w:type="fixed"/>
        <w:tblCellMar>
          <w:top w:w="0" w:type="dxa"/>
          <w:left w:w="108" w:type="dxa"/>
          <w:bottom w:w="0" w:type="dxa"/>
          <w:right w:w="108" w:type="dxa"/>
        </w:tblCellMar>
      </w:tblPr>
      <w:tblGrid>
        <w:gridCol w:w="5688"/>
        <w:gridCol w:w="180"/>
        <w:gridCol w:w="1620"/>
        <w:gridCol w:w="1128"/>
      </w:tblGrid>
      <w:tr>
        <w:tblPrEx>
          <w:tblLayout w:type="fixed"/>
          <w:tblCellMar>
            <w:top w:w="0" w:type="dxa"/>
            <w:left w:w="108" w:type="dxa"/>
            <w:bottom w:w="0" w:type="dxa"/>
            <w:right w:w="108" w:type="dxa"/>
          </w:tblCellMar>
        </w:tblPrEx>
        <w:tc>
          <w:tcPr>
            <w:tcW w:w="8616" w:type="dxa"/>
            <w:gridSpan w:val="4"/>
          </w:tcPr>
          <w:p>
            <w:pPr>
              <w:pStyle w:val="9"/>
              <w:spacing w:beforeLines="50" w:afterLines="50" w:line="300" w:lineRule="auto"/>
              <w:rPr>
                <w:rFonts w:ascii="Times New Roman" w:hAnsi="Times New Roman"/>
                <w:b/>
                <w:bCs/>
                <w:kern w:val="2"/>
                <w:sz w:val="24"/>
                <w:szCs w:val="24"/>
              </w:rPr>
            </w:pPr>
            <w:r>
              <w:rPr>
                <w:rFonts w:ascii="Times New Roman" w:hAnsi="Times New Roman"/>
                <w:b/>
                <w:bCs/>
                <w:kern w:val="2"/>
                <w:sz w:val="24"/>
                <w:szCs w:val="24"/>
              </w:rPr>
              <w:t xml:space="preserve">1. Core Courses (required 12 credits) </w:t>
            </w:r>
          </w:p>
        </w:tc>
      </w:tr>
      <w:tr>
        <w:tblPrEx>
          <w:tblLayout w:type="fixed"/>
          <w:tblCellMar>
            <w:top w:w="0" w:type="dxa"/>
            <w:left w:w="108" w:type="dxa"/>
            <w:bottom w:w="0" w:type="dxa"/>
            <w:right w:w="108" w:type="dxa"/>
          </w:tblCellMar>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Public Organization and Management</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Public Policy Analysis</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Comparative Politics and Government</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868" w:type="dxa"/>
            <w:gridSpan w:val="2"/>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Research Design and Thesis Writing</w:t>
            </w:r>
          </w:p>
        </w:tc>
        <w:tc>
          <w:tcPr>
            <w:tcW w:w="1620" w:type="dxa"/>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8616" w:type="dxa"/>
            <w:gridSpan w:val="4"/>
          </w:tcPr>
          <w:p>
            <w:pPr>
              <w:pStyle w:val="9"/>
              <w:spacing w:beforeLines="50" w:afterLines="50" w:line="300" w:lineRule="auto"/>
              <w:rPr>
                <w:rFonts w:ascii="Times New Roman" w:hAnsi="Times New Roman"/>
                <w:b/>
                <w:bCs/>
                <w:kern w:val="2"/>
                <w:sz w:val="24"/>
                <w:szCs w:val="24"/>
              </w:rPr>
            </w:pPr>
            <w:r>
              <w:rPr>
                <w:rFonts w:ascii="Times New Roman" w:hAnsi="Times New Roman"/>
                <w:b/>
                <w:bCs/>
                <w:kern w:val="2"/>
                <w:sz w:val="24"/>
                <w:szCs w:val="24"/>
              </w:rPr>
              <w:t>2</w:t>
            </w:r>
            <w:r>
              <w:rPr>
                <w:rFonts w:hint="eastAsia" w:ascii="Times New Roman" w:hAnsi="宋体"/>
                <w:b/>
                <w:bCs/>
                <w:kern w:val="2"/>
                <w:sz w:val="24"/>
                <w:szCs w:val="24"/>
              </w:rPr>
              <w:t>．</w:t>
            </w:r>
            <w:r>
              <w:rPr>
                <w:rFonts w:ascii="Times New Roman" w:hAnsi="Times New Roman"/>
                <w:b/>
                <w:bCs/>
                <w:kern w:val="2"/>
                <w:sz w:val="24"/>
                <w:szCs w:val="24"/>
              </w:rPr>
              <w:t xml:space="preserve">Electives </w:t>
            </w:r>
            <w:r>
              <w:rPr>
                <w:rFonts w:hint="eastAsia" w:ascii="Times New Roman" w:hAnsi="宋体"/>
                <w:b/>
                <w:bCs/>
                <w:kern w:val="2"/>
                <w:sz w:val="24"/>
                <w:szCs w:val="24"/>
              </w:rPr>
              <w:t>（</w:t>
            </w:r>
            <w:r>
              <w:rPr>
                <w:rFonts w:ascii="Times New Roman" w:hAnsi="Times New Roman"/>
                <w:b/>
                <w:bCs/>
                <w:kern w:val="2"/>
                <w:sz w:val="24"/>
                <w:szCs w:val="24"/>
              </w:rPr>
              <w:t>no less than 12 credits</w:t>
            </w:r>
            <w:r>
              <w:rPr>
                <w:rFonts w:hint="eastAsia" w:ascii="Times New Roman" w:hAnsi="宋体"/>
                <w:b/>
                <w:bCs/>
                <w:kern w:val="2"/>
                <w:sz w:val="24"/>
                <w:szCs w:val="24"/>
              </w:rPr>
              <w:t>）</w:t>
            </w:r>
          </w:p>
        </w:tc>
      </w:tr>
      <w:tr>
        <w:tblPrEx>
          <w:tblLayout w:type="fixed"/>
          <w:tblCellMar>
            <w:top w:w="0" w:type="dxa"/>
            <w:left w:w="108" w:type="dxa"/>
            <w:bottom w:w="0" w:type="dxa"/>
            <w:right w:w="108" w:type="dxa"/>
          </w:tblCellMar>
        </w:tblPrEx>
        <w:tc>
          <w:tcPr>
            <w:tcW w:w="8616" w:type="dxa"/>
            <w:gridSpan w:val="4"/>
          </w:tcPr>
          <w:p>
            <w:pPr>
              <w:pStyle w:val="9"/>
              <w:spacing w:line="300" w:lineRule="auto"/>
              <w:ind w:firstLine="361" w:firstLineChars="150"/>
              <w:rPr>
                <w:rFonts w:ascii="Times New Roman" w:hAnsi="Times New Roman"/>
                <w:kern w:val="2"/>
                <w:sz w:val="24"/>
                <w:szCs w:val="24"/>
              </w:rPr>
            </w:pPr>
            <w:r>
              <w:rPr>
                <w:rFonts w:ascii="Times New Roman" w:hAnsi="Times New Roman"/>
                <w:b/>
                <w:bCs/>
                <w:kern w:val="2"/>
                <w:sz w:val="24"/>
                <w:szCs w:val="24"/>
              </w:rPr>
              <w:t xml:space="preserve">Elective I (optional, but no less than 6 credits) </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Governance and Development</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Economic Development: Theory and Practice</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International Political Economy</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Leadership</w:t>
            </w:r>
          </w:p>
        </w:tc>
        <w:tc>
          <w:tcPr>
            <w:tcW w:w="1800" w:type="dxa"/>
            <w:gridSpan w:val="2"/>
          </w:tcPr>
          <w:p>
            <w:pPr>
              <w:pStyle w:val="9"/>
              <w:spacing w:beforeLines="50" w:afterLines="50" w:line="300" w:lineRule="auto"/>
              <w:jc w:val="center"/>
              <w:rPr>
                <w:rFonts w:ascii="Times New Roman" w:hAnsi="Times New Roman"/>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2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Globalization and Governance</w:t>
            </w:r>
          </w:p>
        </w:tc>
        <w:tc>
          <w:tcPr>
            <w:tcW w:w="1800" w:type="dxa"/>
            <w:gridSpan w:val="2"/>
          </w:tcPr>
          <w:p>
            <w:pPr>
              <w:pStyle w:val="9"/>
              <w:spacing w:beforeLines="50" w:afterLines="50" w:line="300" w:lineRule="auto"/>
              <w:jc w:val="center"/>
              <w:rPr>
                <w:rFonts w:ascii="Times New Roman" w:hAnsi="Times New Roman"/>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Frontier of Public Policy</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Integrated Approaches to Sustainable Development Practice</w:t>
            </w:r>
          </w:p>
        </w:tc>
        <w:tc>
          <w:tcPr>
            <w:tcW w:w="1800" w:type="dxa"/>
            <w:gridSpan w:val="2"/>
            <w:vAlign w:val="center"/>
          </w:tcPr>
          <w:p>
            <w:pPr>
              <w:pStyle w:val="9"/>
              <w:spacing w:beforeLines="50" w:afterLines="50" w:line="300" w:lineRule="auto"/>
              <w:jc w:val="center"/>
              <w:rPr>
                <w:rFonts w:ascii="Times New Roman" w:hAnsi="Times New Roman"/>
                <w:kern w:val="2"/>
                <w:sz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Comparative Development</w:t>
            </w:r>
          </w:p>
        </w:tc>
        <w:tc>
          <w:tcPr>
            <w:tcW w:w="1800" w:type="dxa"/>
            <w:gridSpan w:val="2"/>
            <w:vAlign w:val="center"/>
          </w:tcPr>
          <w:p>
            <w:pPr>
              <w:pStyle w:val="9"/>
              <w:spacing w:before="60" w:after="60"/>
              <w:jc w:val="center"/>
              <w:rPr>
                <w:rFonts w:ascii="Times New Roman" w:hAnsi="Times New Roman"/>
                <w:kern w:val="2"/>
                <w:sz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Applied Social Research Methods</w:t>
            </w:r>
          </w:p>
        </w:tc>
        <w:tc>
          <w:tcPr>
            <w:tcW w:w="1800" w:type="dxa"/>
            <w:gridSpan w:val="2"/>
            <w:vAlign w:val="center"/>
          </w:tcPr>
          <w:p>
            <w:pPr>
              <w:pStyle w:val="9"/>
              <w:spacing w:before="60" w:after="60"/>
              <w:jc w:val="center"/>
              <w:rPr>
                <w:rFonts w:ascii="Times New Roman" w:hAnsi="Times New Roman"/>
                <w:kern w:val="2"/>
                <w:sz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Intermediate Social Research Methods</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2 credits</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Independent Study</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Frontier of Public Management</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vAlign w:val="center"/>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Development: Theory and Practice</w:t>
            </w:r>
          </w:p>
        </w:tc>
        <w:tc>
          <w:tcPr>
            <w:tcW w:w="1800" w:type="dxa"/>
            <w:gridSpan w:val="2"/>
            <w:vAlign w:val="center"/>
          </w:tcPr>
          <w:p>
            <w:pPr>
              <w:pStyle w:val="13"/>
              <w:spacing w:before="60" w:after="60"/>
              <w:ind w:firstLine="0" w:firstLineChars="0"/>
              <w:jc w:val="center"/>
              <w:rPr>
                <w:rFonts w:ascii="Times New Roman" w:hAnsi="Times New Roman"/>
                <w:sz w:val="22"/>
                <w:szCs w:val="22"/>
              </w:rPr>
            </w:pPr>
          </w:p>
        </w:tc>
        <w:tc>
          <w:tcPr>
            <w:tcW w:w="1128" w:type="dxa"/>
          </w:tcPr>
          <w:p>
            <w:pPr>
              <w:pStyle w:val="9"/>
              <w:spacing w:beforeLines="50" w:afterLines="50" w:line="300" w:lineRule="auto"/>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8616" w:type="dxa"/>
            <w:gridSpan w:val="4"/>
          </w:tcPr>
          <w:p>
            <w:pPr>
              <w:pStyle w:val="9"/>
              <w:spacing w:beforeLines="50" w:afterLines="50" w:line="300" w:lineRule="auto"/>
              <w:ind w:firstLine="354" w:firstLineChars="147"/>
              <w:rPr>
                <w:rFonts w:ascii="Times New Roman" w:hAnsi="Times New Roman"/>
                <w:b/>
                <w:bCs/>
                <w:kern w:val="2"/>
                <w:sz w:val="24"/>
                <w:szCs w:val="24"/>
              </w:rPr>
            </w:pPr>
            <w:r>
              <w:rPr>
                <w:rFonts w:ascii="Times New Roman" w:hAnsi="Times New Roman"/>
                <w:b/>
                <w:bCs/>
                <w:kern w:val="2"/>
                <w:sz w:val="24"/>
                <w:szCs w:val="24"/>
              </w:rPr>
              <w:t>Elective II (optional, but no less than 6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Politics and Government in China</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Economic Development and Policy in China</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China’s Social Policy</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China’s Foreign Strategy and Policy</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Chinese Constitutional and Administrative Law</w:t>
            </w:r>
          </w:p>
        </w:tc>
        <w:tc>
          <w:tcPr>
            <w:tcW w:w="1800" w:type="dxa"/>
            <w:gridSpan w:val="2"/>
          </w:tcPr>
          <w:p>
            <w:pPr>
              <w:pStyle w:val="9"/>
              <w:spacing w:beforeLines="50" w:afterLines="50" w:line="300" w:lineRule="auto"/>
              <w:jc w:val="center"/>
              <w:rPr>
                <w:rFonts w:ascii="Times New Roman" w:hAnsi="Times New Roman"/>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Chinese Philosophy</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2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Comparative Study of Chinese Culture and Society</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2 credits</w:t>
            </w:r>
          </w:p>
        </w:tc>
      </w:tr>
      <w:tr>
        <w:tblPrEx>
          <w:tblLayout w:type="fixed"/>
          <w:tblCellMar>
            <w:top w:w="0" w:type="dxa"/>
            <w:left w:w="108" w:type="dxa"/>
            <w:bottom w:w="0" w:type="dxa"/>
            <w:right w:w="108" w:type="dxa"/>
          </w:tblCellMar>
        </w:tblPrEx>
        <w:tc>
          <w:tcPr>
            <w:tcW w:w="8616" w:type="dxa"/>
            <w:gridSpan w:val="4"/>
          </w:tcPr>
          <w:p>
            <w:pPr>
              <w:pStyle w:val="9"/>
              <w:spacing w:beforeLines="50" w:afterLines="50" w:line="300" w:lineRule="auto"/>
              <w:rPr>
                <w:rFonts w:ascii="Times New Roman" w:hAnsi="Times New Roman"/>
                <w:b/>
                <w:bCs/>
                <w:kern w:val="2"/>
                <w:sz w:val="24"/>
                <w:szCs w:val="24"/>
              </w:rPr>
            </w:pPr>
            <w:r>
              <w:rPr>
                <w:rFonts w:ascii="Times New Roman" w:hAnsi="Times New Roman"/>
                <w:b/>
                <w:bCs/>
                <w:kern w:val="2"/>
                <w:sz w:val="24"/>
                <w:szCs w:val="24"/>
              </w:rPr>
              <w:t>3. Language Course</w:t>
            </w:r>
            <w:r>
              <w:rPr>
                <w:rFonts w:hint="eastAsia" w:ascii="Times New Roman" w:hAnsi="宋体"/>
                <w:b/>
                <w:bCs/>
                <w:kern w:val="2"/>
                <w:sz w:val="24"/>
                <w:szCs w:val="24"/>
              </w:rPr>
              <w:t>（</w:t>
            </w:r>
            <w:r>
              <w:rPr>
                <w:rFonts w:ascii="Times New Roman" w:hAnsi="Times New Roman"/>
                <w:b/>
                <w:bCs/>
                <w:kern w:val="2"/>
                <w:sz w:val="24"/>
                <w:szCs w:val="24"/>
              </w:rPr>
              <w:t>required</w:t>
            </w:r>
            <w:r>
              <w:rPr>
                <w:rFonts w:hint="eastAsia" w:ascii="Times New Roman" w:hAnsi="宋体"/>
                <w:b/>
                <w:bCs/>
                <w:kern w:val="2"/>
                <w:sz w:val="24"/>
                <w:szCs w:val="24"/>
              </w:rPr>
              <w:t>，</w:t>
            </w:r>
            <w:r>
              <w:rPr>
                <w:rFonts w:ascii="Times New Roman" w:hAnsi="Times New Roman"/>
                <w:b/>
                <w:bCs/>
                <w:kern w:val="2"/>
                <w:sz w:val="24"/>
                <w:szCs w:val="24"/>
              </w:rPr>
              <w:t>2 credits</w:t>
            </w:r>
            <w:r>
              <w:rPr>
                <w:rFonts w:hint="eastAsia" w:ascii="Times New Roman" w:hAnsi="宋体"/>
                <w:b/>
                <w:bCs/>
                <w:kern w:val="2"/>
                <w:sz w:val="24"/>
                <w:szCs w:val="24"/>
              </w:rPr>
              <w:t>）</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b/>
                <w:bCs/>
                <w:kern w:val="2"/>
                <w:sz w:val="24"/>
                <w:szCs w:val="24"/>
              </w:rPr>
            </w:pPr>
            <w:r>
              <w:rPr>
                <w:rFonts w:ascii="Times New Roman" w:hAnsi="Times New Roman"/>
                <w:kern w:val="2"/>
              </w:rPr>
              <w:t>Chinese Language</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b/>
                <w:bCs/>
                <w:kern w:val="2"/>
                <w:sz w:val="24"/>
                <w:szCs w:val="24"/>
              </w:rPr>
            </w:pPr>
            <w:r>
              <w:rPr>
                <w:rFonts w:ascii="Times New Roman" w:hAnsi="Times New Roman"/>
                <w:kern w:val="2"/>
                <w:sz w:val="24"/>
                <w:szCs w:val="24"/>
              </w:rPr>
              <w:t>2 credits</w:t>
            </w:r>
          </w:p>
        </w:tc>
      </w:tr>
      <w:tr>
        <w:tblPrEx>
          <w:tblLayout w:type="fixed"/>
          <w:tblCellMar>
            <w:top w:w="0" w:type="dxa"/>
            <w:left w:w="108" w:type="dxa"/>
            <w:bottom w:w="0" w:type="dxa"/>
            <w:right w:w="108" w:type="dxa"/>
          </w:tblCellMar>
        </w:tblPrEx>
        <w:tc>
          <w:tcPr>
            <w:tcW w:w="8616" w:type="dxa"/>
            <w:gridSpan w:val="4"/>
          </w:tcPr>
          <w:p>
            <w:pPr>
              <w:pStyle w:val="9"/>
              <w:spacing w:beforeLines="50" w:afterLines="50" w:line="300" w:lineRule="auto"/>
              <w:rPr>
                <w:rFonts w:ascii="Times New Roman" w:hAnsi="Times New Roman"/>
                <w:b/>
                <w:bCs/>
                <w:kern w:val="2"/>
                <w:sz w:val="24"/>
                <w:szCs w:val="24"/>
              </w:rPr>
            </w:pPr>
            <w:r>
              <w:rPr>
                <w:rFonts w:ascii="Times New Roman" w:hAnsi="Times New Roman"/>
                <w:b/>
                <w:bCs/>
                <w:kern w:val="2"/>
                <w:sz w:val="24"/>
                <w:szCs w:val="24"/>
              </w:rPr>
              <w:t>4. Practical Training</w:t>
            </w:r>
            <w:r>
              <w:rPr>
                <w:rFonts w:hint="eastAsia" w:ascii="Times New Roman" w:hAnsi="宋体"/>
                <w:b/>
                <w:bCs/>
                <w:kern w:val="2"/>
                <w:sz w:val="24"/>
                <w:szCs w:val="24"/>
              </w:rPr>
              <w:t>（</w:t>
            </w:r>
            <w:r>
              <w:rPr>
                <w:rFonts w:ascii="Times New Roman" w:hAnsi="Times New Roman"/>
                <w:b/>
                <w:bCs/>
                <w:kern w:val="2"/>
                <w:sz w:val="24"/>
                <w:szCs w:val="24"/>
              </w:rPr>
              <w:t>required</w:t>
            </w:r>
            <w:r>
              <w:rPr>
                <w:rFonts w:hint="eastAsia" w:ascii="Times New Roman" w:hAnsi="宋体"/>
                <w:b/>
                <w:bCs/>
                <w:kern w:val="2"/>
                <w:sz w:val="24"/>
                <w:szCs w:val="24"/>
              </w:rPr>
              <w:t>，</w:t>
            </w:r>
            <w:r>
              <w:rPr>
                <w:rFonts w:ascii="Times New Roman" w:hAnsi="Times New Roman"/>
                <w:b/>
                <w:bCs/>
                <w:kern w:val="2"/>
                <w:sz w:val="24"/>
                <w:szCs w:val="24"/>
              </w:rPr>
              <w:t>4 credits</w:t>
            </w:r>
            <w:r>
              <w:rPr>
                <w:rFonts w:hint="eastAsia" w:ascii="Times New Roman" w:hAnsi="宋体"/>
                <w:b/>
                <w:bCs/>
                <w:kern w:val="2"/>
                <w:sz w:val="24"/>
                <w:szCs w:val="24"/>
              </w:rPr>
              <w:t>）</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Field Study</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3 credits</w:t>
            </w:r>
          </w:p>
        </w:tc>
      </w:tr>
      <w:tr>
        <w:tblPrEx>
          <w:tblLayout w:type="fixed"/>
          <w:tblCellMar>
            <w:top w:w="0" w:type="dxa"/>
            <w:left w:w="108" w:type="dxa"/>
            <w:bottom w:w="0" w:type="dxa"/>
            <w:right w:w="108" w:type="dxa"/>
          </w:tblCellMar>
        </w:tblPrEx>
        <w:tc>
          <w:tcPr>
            <w:tcW w:w="5688" w:type="dxa"/>
          </w:tcPr>
          <w:p>
            <w:pPr>
              <w:pStyle w:val="9"/>
              <w:numPr>
                <w:ilvl w:val="0"/>
                <w:numId w:val="2"/>
              </w:numPr>
              <w:tabs>
                <w:tab w:val="left" w:pos="420"/>
              </w:tabs>
              <w:spacing w:beforeLines="50" w:afterLines="50" w:line="300" w:lineRule="auto"/>
              <w:rPr>
                <w:rFonts w:ascii="Times New Roman" w:hAnsi="Times New Roman"/>
                <w:kern w:val="2"/>
              </w:rPr>
            </w:pPr>
            <w:r>
              <w:rPr>
                <w:rFonts w:ascii="Times New Roman" w:hAnsi="Times New Roman"/>
                <w:kern w:val="2"/>
              </w:rPr>
              <w:t>Thesis Proposal</w:t>
            </w:r>
          </w:p>
        </w:tc>
        <w:tc>
          <w:tcPr>
            <w:tcW w:w="1800" w:type="dxa"/>
            <w:gridSpan w:val="2"/>
          </w:tcPr>
          <w:p>
            <w:pPr>
              <w:pStyle w:val="9"/>
              <w:spacing w:beforeLines="50" w:afterLines="50" w:line="300" w:lineRule="auto"/>
              <w:jc w:val="center"/>
              <w:rPr>
                <w:rFonts w:ascii="Times New Roman" w:hAnsi="Times New Roman"/>
                <w:b/>
                <w:bCs/>
                <w:kern w:val="2"/>
                <w:sz w:val="24"/>
                <w:szCs w:val="24"/>
              </w:rPr>
            </w:pPr>
          </w:p>
        </w:tc>
        <w:tc>
          <w:tcPr>
            <w:tcW w:w="1128" w:type="dxa"/>
          </w:tcPr>
          <w:p>
            <w:pPr>
              <w:pStyle w:val="9"/>
              <w:spacing w:beforeLines="50" w:afterLines="50" w:line="300" w:lineRule="auto"/>
              <w:jc w:val="center"/>
              <w:rPr>
                <w:rFonts w:ascii="Times New Roman" w:hAnsi="Times New Roman"/>
                <w:kern w:val="2"/>
                <w:sz w:val="24"/>
                <w:szCs w:val="24"/>
              </w:rPr>
            </w:pPr>
            <w:r>
              <w:rPr>
                <w:rFonts w:ascii="Times New Roman" w:hAnsi="Times New Roman"/>
                <w:kern w:val="2"/>
                <w:sz w:val="24"/>
                <w:szCs w:val="24"/>
              </w:rPr>
              <w:t>1 credits</w:t>
            </w:r>
          </w:p>
        </w:tc>
      </w:tr>
    </w:tbl>
    <w:p>
      <w:pPr>
        <w:pStyle w:val="9"/>
        <w:adjustRightInd w:val="0"/>
        <w:snapToGrid w:val="0"/>
        <w:spacing w:line="300" w:lineRule="auto"/>
        <w:rPr>
          <w:rFonts w:ascii="Times New Roman" w:hAnsi="Times New Roman"/>
          <w:b/>
          <w:bCs/>
          <w:sz w:val="30"/>
          <w:szCs w:val="30"/>
        </w:rPr>
      </w:pPr>
    </w:p>
    <w:p>
      <w:pPr>
        <w:pStyle w:val="9"/>
        <w:adjustRightInd w:val="0"/>
        <w:snapToGrid w:val="0"/>
        <w:rPr>
          <w:rFonts w:ascii="Times New Roman" w:hAnsi="Times New Roman"/>
          <w:b/>
          <w:bCs/>
          <w:sz w:val="28"/>
          <w:szCs w:val="28"/>
        </w:rPr>
      </w:pPr>
      <w:r>
        <w:rPr>
          <w:rFonts w:ascii="Times New Roman" w:hAnsi="Times New Roman"/>
          <w:b/>
          <w:bCs/>
          <w:sz w:val="28"/>
          <w:szCs w:val="28"/>
        </w:rPr>
        <w:t>III - Course Descriptions (Partial)</w:t>
      </w:r>
    </w:p>
    <w:p>
      <w:pPr>
        <w:pStyle w:val="9"/>
        <w:adjustRightInd w:val="0"/>
        <w:snapToGrid w:val="0"/>
        <w:rPr>
          <w:rFonts w:ascii="Times New Roman" w:hAnsi="Times New Roman"/>
          <w:b/>
          <w:bCs/>
          <w:sz w:val="28"/>
          <w:szCs w:val="28"/>
        </w:rPr>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Core Courses</w:t>
      </w:r>
    </w:p>
    <w:p>
      <w:pPr>
        <w:rPr>
          <w:b/>
          <w:bCs/>
        </w:rPr>
      </w:pPr>
      <w:r>
        <w:rPr>
          <w:b/>
          <w:bCs/>
        </w:rPr>
        <w:t>Public Organization and Management</w:t>
      </w:r>
    </w:p>
    <w:p>
      <w:pPr>
        <w:widowControl/>
        <w:rPr>
          <w:kern w:val="0"/>
        </w:rPr>
      </w:pPr>
      <w:r>
        <w:rPr>
          <w:kern w:val="0"/>
        </w:rPr>
        <w:t>This course aims to introduce to the students the major concepts, theories and practices of contemporary public management. It will also help students access and understand the practices of Chinese public administration in the reform era. To achieve this end, instructor will adopt various teaching methods, including lecturing, case discussion, group presentations and on-site visits. Students are expected to actively participate in the teaching process and contribute to the classroom discussion.</w:t>
      </w:r>
    </w:p>
    <w:p>
      <w:pPr>
        <w:spacing w:line="400" w:lineRule="exact"/>
      </w:pPr>
    </w:p>
    <w:p>
      <w:pPr>
        <w:rPr>
          <w:b/>
          <w:bCs/>
        </w:rPr>
      </w:pPr>
      <w:r>
        <w:rPr>
          <w:b/>
          <w:bCs/>
        </w:rPr>
        <w:t>Public Policy Analysis</w:t>
      </w:r>
    </w:p>
    <w:p>
      <w:pPr>
        <w:widowControl/>
        <w:rPr>
          <w:kern w:val="0"/>
        </w:rPr>
      </w:pPr>
      <w:r>
        <w:rPr>
          <w:kern w:val="0"/>
        </w:rPr>
        <w:t>This course introduces students with modern theories of public policy analysis as an important academic branch of public administration. With ample cases, this course discusses relevant theories on policy process and policy analysis. The ultimate goal for this course is to enlarge students’ knowledge pool on basic public policy theories, and to help students dragging these theories down to the earth by identifying policy problems, setting up and balancing policy goals, picking up policy instruments, establishing policy analysis framework, providing policy suggestions, evaluating policy implementation efforts, and selecting advanced analysis tools.</w:t>
      </w:r>
    </w:p>
    <w:p>
      <w:pPr>
        <w:rPr>
          <w:b/>
          <w:bCs/>
        </w:rPr>
      </w:pPr>
      <w:r>
        <w:rPr>
          <w:b/>
          <w:bCs/>
        </w:rPr>
        <w:t xml:space="preserve">Comparative Politics and Government </w:t>
      </w:r>
    </w:p>
    <w:p>
      <w:pPr/>
      <w:r>
        <w:t>This course is a general introduction to basic concepts and issues of comparative politics. This course builds a basic foundation for students to understand and analyze politics and governments in major countries, including the United States, China and some developing countries (areas) in East Asia. The course starts with two most important political ideologies, liberalism and Marxism, and their practice in the United States and China through a close look at the political institutions in these two countries. It then examines the important experiences of economic development in developing countries by relying on the two different theoretical perspectives, dependency theory and the model of developmental state. It then moves to the important issues of political development and effects of political culture on political development.</w:t>
      </w:r>
    </w:p>
    <w:p>
      <w:pPr>
        <w:rPr>
          <w:b/>
          <w:bCs/>
        </w:rPr>
      </w:pPr>
    </w:p>
    <w:p>
      <w:pPr>
        <w:rPr>
          <w:b/>
          <w:bCs/>
        </w:rPr>
      </w:pPr>
      <w:r>
        <w:rPr>
          <w:b/>
          <w:bCs/>
        </w:rPr>
        <w:t>Research Design and Thesis writing</w:t>
      </w:r>
    </w:p>
    <w:p>
      <w:pPr>
        <w:widowControl/>
        <w:rPr>
          <w:kern w:val="0"/>
        </w:rPr>
      </w:pPr>
      <w:r>
        <w:rPr>
          <w:kern w:val="0"/>
        </w:rPr>
        <w:t>This course introduces to students major concepts and techniques for research design of social science. Although scholars and practitioners in the field of public administration might still have different views on whether we should have a unified methodological system, here we focus primarily on how to conduct feasible, reliable, and empirically falsifiable research. We will discuss the philosophy, the craft and the technology of social science research. Practically, this course aims to help students finish their thesis proposals step by step. Written assignments and student presentations are intentionally designed as practice for thesis writing and defense. Beyond this, students are also expected to develop a scientific thinking towards policy issues and to know how to search for other analytical methods not covered in this course in the future.</w:t>
      </w:r>
    </w:p>
    <w:p>
      <w:pPr/>
    </w:p>
    <w:p>
      <w:pPr>
        <w:rPr>
          <w:b/>
          <w:bCs/>
        </w:rPr>
      </w:pPr>
      <w:r>
        <w:rPr>
          <w:b/>
          <w:bCs/>
        </w:rPr>
        <w:t xml:space="preserve">Governance and Development </w:t>
      </w:r>
    </w:p>
    <w:p>
      <w:pPr/>
      <w:r>
        <w:t>This course introduces to the students the evolution of development thinking and experiences since the end of the Second World War. It covers the colonial backgrounds and legacies, the development policies from 1950s to 1970s, the rise of the “Washington Consensus” in the late 1980s and the search for its alternatives from the Asian Financial Crisis in 1997 up to now. The current issues of “governance” is viewed from a historical perspective and analyzed with the aid of the latest theoretical advancement as exemplified in the World Development Report 2006 “Equity and Development”.</w:t>
      </w:r>
    </w:p>
    <w:p>
      <w:pPr/>
    </w:p>
    <w:p>
      <w:pPr>
        <w:rPr>
          <w:b/>
          <w:bCs/>
        </w:rPr>
      </w:pPr>
      <w:r>
        <w:rPr>
          <w:b/>
          <w:bCs/>
        </w:rPr>
        <w:t xml:space="preserve">Economic Development: Theory and Practice </w:t>
      </w:r>
    </w:p>
    <w:p>
      <w:pPr/>
      <w:r>
        <w:t>This course explores the theory and practice of development in general and China's economic development in the past several decades in particular. It begins by considering early theories of development associated with European industrialization; proceeds to review the ideological contest between modernization theory and dependency theory which dominated the initial post-colonial debate about development; assesses more recent theoretical moves in the direction of neoliberalism and the so-called 'Third Way' and concludes by seeking to reframe the concept of development in the context of globalization. Finally, it uses various case studies to explore the sources of China's recent development.</w:t>
      </w:r>
    </w:p>
    <w:p>
      <w:pPr/>
    </w:p>
    <w:p>
      <w:pPr>
        <w:rPr>
          <w:b/>
          <w:bCs/>
        </w:rPr>
      </w:pPr>
      <w:r>
        <w:rPr>
          <w:b/>
          <w:bCs/>
        </w:rPr>
        <w:t>International Political Economy</w:t>
      </w:r>
    </w:p>
    <w:p>
      <w:pPr>
        <w:widowControl/>
        <w:rPr>
          <w:kern w:val="0"/>
        </w:rPr>
      </w:pPr>
      <w:r>
        <w:rPr>
          <w:kern w:val="0"/>
        </w:rPr>
        <w:t>Seminar conducted in English</w:t>
      </w:r>
    </w:p>
    <w:p>
      <w:pPr>
        <w:widowControl/>
        <w:rPr>
          <w:kern w:val="0"/>
        </w:rPr>
      </w:pPr>
      <w:r>
        <w:rPr>
          <w:kern w:val="0"/>
        </w:rPr>
        <w:t>This course provides an overview of the field of international political economy (IPE) to students who have no previous background knowledge. The main aim is to help students to understand the interaction between international political and economic systems, forces and actors, including such interaction at and between international and domestic levels. It also aims to provide an understanding of development related issues in the international political economy. By the end of the module students will be ableto: (1) Demonstrate knowledge of the key features of the international political economy and different analytical frameworks used to analyse it; (2) Apply appropriate conceptual tools to explain different aspects of the international political economy; (3) Demonstrate an understanding of China’s development in the recent decades within the international context; (4) Show an understanding of current global economic crisis with various theoretical perspectives.</w:t>
      </w:r>
    </w:p>
    <w:p>
      <w:pPr/>
    </w:p>
    <w:p>
      <w:pPr>
        <w:rPr>
          <w:b/>
          <w:bCs/>
        </w:rPr>
      </w:pPr>
      <w:r>
        <w:rPr>
          <w:b/>
          <w:bCs/>
        </w:rPr>
        <w:t xml:space="preserve">Leadership </w:t>
      </w:r>
    </w:p>
    <w:p>
      <w:pPr/>
      <w:r>
        <w:t>This course is about leadership in organizations, especially in public organizations. It provides a detailed explanation and critical evaluation of major theories, a comprehensive review and evaluation of empirical research. Cases, guest speech, group projects and discussions are designed to help the student gain a better understanding of the basic concepts and effective guidelines. The course will discuss the perspectives on effective leadership behavior, traits and skills in managerial leadership, leadership in changing situations. Special topics such as ethical leadership, gender and leadership, cross-cultural leadership will be introduced through class discussions and projects.</w:t>
      </w:r>
    </w:p>
    <w:p>
      <w:pPr/>
    </w:p>
    <w:p>
      <w:pPr>
        <w:rPr>
          <w:b/>
          <w:bCs/>
        </w:rPr>
      </w:pPr>
      <w:r>
        <w:rPr>
          <w:b/>
          <w:bCs/>
        </w:rPr>
        <w:t>Globalization and Governance</w:t>
      </w:r>
    </w:p>
    <w:p>
      <w:pPr>
        <w:widowControl/>
        <w:rPr>
          <w:kern w:val="0"/>
        </w:rPr>
      </w:pPr>
      <w:r>
        <w:rPr>
          <w:kern w:val="0"/>
        </w:rPr>
        <w:t>The course introduces students to the key dimensions of globalization relevant for public policy analysis and decision-making. It reviews the theoretical controversies developed by theacademic literature on each topic, presents the relevant data available from policy think tanks and international institutions to draw a global picture, and discusses policy case-studies borrowed from a wide comparative and international background. The course aims at offering a plurality of perspectives on the context of contemporary public policy, and to develop the knowledge of practical policy making at the international, national or local levels.</w:t>
      </w:r>
    </w:p>
    <w:p>
      <w:pPr/>
    </w:p>
    <w:p>
      <w:pPr>
        <w:rPr>
          <w:b/>
          <w:bCs/>
        </w:rPr>
      </w:pPr>
      <w:r>
        <w:rPr>
          <w:b/>
          <w:bCs/>
        </w:rPr>
        <w:t xml:space="preserve">Comparative Development </w:t>
      </w:r>
    </w:p>
    <w:p>
      <w:pPr>
        <w:widowControl/>
        <w:rPr>
          <w:kern w:val="0"/>
        </w:rPr>
      </w:pPr>
      <w:r>
        <w:rPr>
          <w:kern w:val="0"/>
        </w:rPr>
        <w:t>The course will present a survey of ‘stylised accounts’ of developmental models noted for their particularity, and their status as benchmarks of success and failure. In addition, the course will address questions regarding the prerequisites of different development models, how far developmental experiences can be replicated and problems of transferability. The course will touch upon the cost to the past, and to the future, and consider more fully, a range of issues which might include such topics as political order as both a public good and as ideology, economic growth and gender discrimination, the market and civil society, and the nature and limitations of the Washington Consensus. Furthermore, students will choose, in consultation with the course instructor and no later than week 8 on completion of the survey of country models of development, a single model to explore in relation to their own country of origin.</w:t>
      </w:r>
    </w:p>
    <w:p>
      <w:pPr/>
    </w:p>
    <w:p>
      <w:pPr>
        <w:rPr>
          <w:b/>
          <w:bCs/>
        </w:rPr>
      </w:pPr>
      <w:r>
        <w:rPr>
          <w:b/>
          <w:bCs/>
        </w:rPr>
        <w:t xml:space="preserve">Politics and Government in China </w:t>
      </w:r>
    </w:p>
    <w:p>
      <w:pPr/>
      <w:r>
        <w:t>This course is designed to introduce to students who have limited knowledge of China some basic aspects of political institutions and processes as well as major events in Chinese political life under the communists since 1949, focusing on the post-Mao reform period since 1978. It examines economic and political development in China--their causes, patterns, consequences, and implications--in a broader context of globalization and modernization.</w:t>
      </w:r>
    </w:p>
    <w:p>
      <w:pPr/>
    </w:p>
    <w:p>
      <w:pPr>
        <w:rPr>
          <w:b/>
          <w:bCs/>
        </w:rPr>
      </w:pPr>
      <w:r>
        <w:rPr>
          <w:b/>
          <w:bCs/>
        </w:rPr>
        <w:t>Economic Development and Policy in China</w:t>
      </w:r>
    </w:p>
    <w:p>
      <w:pPr>
        <w:widowControl/>
        <w:rPr>
          <w:kern w:val="0"/>
        </w:rPr>
      </w:pPr>
      <w:r>
        <w:rPr>
          <w:kern w:val="0"/>
        </w:rPr>
        <w:t>China Economic Development focuses on the hot topics on China's transition and development including economic growth, industrial policies, environment, employment, government finance, public service and so on. It is designed for master-level students in public policy and economics. The course is based on the theory of development economics and providing the basic analysis framework for China studies. There will be both historical and contemporary perspective for teaching and give overall picture of China's development record. Both quantitative and qualitative analysis will be applied in the course to enhance the students' capacity on conceptive and empirical research. Besides lectures, the course will also get students involved in the discussions and researches. The evaluation method is multi-dimensional to examine students' knowledge and analytical capacity through research essays, group presentations and discussions, as well as course involvement.</w:t>
      </w:r>
    </w:p>
    <w:p>
      <w:pPr/>
    </w:p>
    <w:p>
      <w:pPr>
        <w:rPr>
          <w:b/>
          <w:bCs/>
        </w:rPr>
      </w:pPr>
      <w:r>
        <w:rPr>
          <w:b/>
          <w:bCs/>
        </w:rPr>
        <w:t xml:space="preserve">China’s Social Policy </w:t>
      </w:r>
    </w:p>
    <w:p>
      <w:pPr/>
      <w:r>
        <w:t>The content of the course is composed of four sections. The first section is an introduction to social policy as a field of study and setting up a framework for understanding. The second section covers major domains of social policy in China. The third section is devoted to a discussion of policy development processes at different levels of the government and resource allocation for policy implementation. The fourth section concludes the course with attempts to analyze some welfare programs as examples of policy analysis.</w:t>
      </w:r>
    </w:p>
    <w:p>
      <w:pPr/>
    </w:p>
    <w:p>
      <w:pPr>
        <w:rPr>
          <w:b/>
          <w:bCs/>
        </w:rPr>
      </w:pPr>
      <w:r>
        <w:rPr>
          <w:b/>
          <w:bCs/>
        </w:rPr>
        <w:t xml:space="preserve">China's foreign strategy and Policy </w:t>
      </w:r>
    </w:p>
    <w:p>
      <w:pPr>
        <w:widowControl/>
        <w:rPr>
          <w:kern w:val="0"/>
        </w:rPr>
      </w:pPr>
      <w:r>
        <w:rPr>
          <w:kern w:val="0"/>
        </w:rPr>
        <w:t xml:space="preserve">The course is composed of three sections: 1. Introduce and discuss the theory, ideology, world view, culture, history, tradition, etc of China's foreign policy, especially the theory and policy implicated during the Mao Zedong, Deng Xiaoping and Jiang Zeming era; 2. Introduce and discuss the foreign strategy and strategic objectives in current China; 3. Introduce and discuss China’s foreign policy on different countries and areas, including China’s policy towards the U.S., Russia, Japan, Asia, Middle east, Africa, Latin America, Europe; </w:t>
      </w:r>
      <w:r>
        <w:rPr>
          <w:bCs/>
          <w:kern w:val="0"/>
        </w:rPr>
        <w:t>multilateral</w:t>
      </w:r>
      <w:r>
        <w:rPr>
          <w:kern w:val="0"/>
        </w:rPr>
        <w:t xml:space="preserve"> diplomacy of China; China’s policy and position on great international issues (anti-terrorism, nonproliferation, safety, environment, human rights, etc.).</w:t>
      </w:r>
    </w:p>
    <w:p>
      <w:pPr/>
    </w:p>
    <w:p>
      <w:pPr>
        <w:rPr>
          <w:b/>
          <w:bCs/>
        </w:rPr>
      </w:pPr>
      <w:r>
        <w:rPr>
          <w:b/>
          <w:bCs/>
        </w:rPr>
        <w:t>Chinese Philosophy</w:t>
      </w:r>
      <w:r>
        <w:rPr>
          <w:rFonts w:hint="eastAsia"/>
          <w:b/>
          <w:bCs/>
        </w:rPr>
        <w:t>　</w:t>
      </w:r>
    </w:p>
    <w:p>
      <w:pPr>
        <w:widowControl/>
        <w:rPr>
          <w:kern w:val="0"/>
        </w:rPr>
      </w:pPr>
      <w:r>
        <w:rPr>
          <w:kern w:val="0"/>
        </w:rPr>
        <w:t>Structure of the Course Introduction: Topic 1: Confucianism Topic 2: Taoism Topic 3: Buddhism Topic 4: Modern Chinese Political Philosophy Contents: Introduction 1. Chinese Traditional Philosophy as a Whole2. Religion and Philosophy Topic 1: Confucianism 1. Pre-Ch'in 2. Han and Tang Dynasty. 3. Song and Ming Dynasty. 4. Related Social Structure Topic 2: Taoism 1. Pre-Ch'in Dynasty 2. Southern and Northern Dynasty 3. Tang Dynasty 4. Related Social Function Topic 3: Buddhism 1. Before Tang Dynasty 2. Tang Dynasty 3. After Tang Dynasty 4. Buddhism vs. Other Religions 5. Related Social Function Topic 4: Modern and Traditional Culture 1. Universalism and Nationalism 2. Traditional Philosophy and Marxism 3. The Transformation and Uprising Period 4. Integral Political Philosophy 5. The Great Chessboard of China</w:t>
      </w:r>
    </w:p>
    <w:p>
      <w:pPr>
        <w:widowControl/>
        <w:rPr>
          <w:kern w:val="0"/>
        </w:rPr>
      </w:pPr>
    </w:p>
    <w:p>
      <w:pPr>
        <w:rPr>
          <w:b/>
          <w:bCs/>
        </w:rPr>
      </w:pPr>
      <w:r>
        <w:rPr>
          <w:b/>
          <w:bCs/>
        </w:rPr>
        <w:t xml:space="preserve">Comparative Study of Chinese Culture and Society </w:t>
      </w:r>
    </w:p>
    <w:p>
      <w:pPr/>
      <w:r>
        <w:t>Contents: Lecture One: Culture and Society; Lecture Two: Land and People Lecture Three: Chinese Architecture; Lecture Four: Chinese Language and Literature; Lecture Five: Chinese Arts: Peking Opera, Calligraphy and Painting; Lecture Six: Chinese Religion; Lecture Seven: Women in China and America Lecture Eight: The Youth in China and America; Lecture Nine: Chinese Education; Lecture Ten: China in a Cross-Cultural Communication.</w:t>
      </w:r>
    </w:p>
    <w:p>
      <w:pPr>
        <w:widowControl/>
        <w:rPr>
          <w:kern w:val="0"/>
        </w:rPr>
      </w:pPr>
    </w:p>
    <w:p>
      <w:pPr>
        <w:rPr>
          <w:b/>
          <w:bCs/>
        </w:rPr>
      </w:pPr>
      <w:r>
        <w:rPr>
          <w:b/>
          <w:bCs/>
        </w:rPr>
        <w:t>Chinese Constitutional and Administrative Law</w:t>
      </w:r>
    </w:p>
    <w:p>
      <w:pPr>
        <w:widowControl/>
        <w:rPr>
          <w:kern w:val="0"/>
        </w:rPr>
      </w:pPr>
      <w:r>
        <w:rPr>
          <w:kern w:val="0"/>
        </w:rPr>
        <w:t>Chinese Constitutional and Administrative Law This course introduces the jurisprudential framework of Chinese constitutional law and administrative law which provide primary legal foundation for Chinese government. The constitutional law, as the first part of this course, involves the following topics:(1) General principle of Chinese constitutional law ;(2) the fundamental institution of the state and basic principles of economy and society; (3)the system and structure of central and local government, which are based on the doctrines of democratic centralism and the unitary state;(4)human rights, citizen’s basic rights and obligations. The key theme of this part is relationship between the state and citizens in terms of constitutionalism. The administrative law is the larger part of this course. It studies a number of subjects on the executive body’s establishments and functions. The topics will be divided into four groups: (1)General principle of Chinese administrative law;(2)the organization of the executive body : formation and legal competence, the range of its functions, and the system of civil servant;(3)the act of the executive body: form and process to make decision with legal effect, means to implement decision;(4) supervision over the executive body and legal remedies to the aggrieved individuals, focusing on the administrative review ,the judicial review and the state liability. The Chinese model of administrative law, namely the development-orientated administrative law will be explored in-depth, based on the fact that the development dominates operation of Chinese government at all levels and on full scale.</w:t>
      </w:r>
    </w:p>
    <w:p>
      <w:pPr>
        <w:jc w:val="left"/>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Language Courses</w:t>
      </w:r>
    </w:p>
    <w:p>
      <w:pPr>
        <w:rPr>
          <w:b/>
          <w:bCs/>
        </w:rPr>
      </w:pPr>
      <w:r>
        <w:rPr>
          <w:b/>
          <w:bCs/>
        </w:rPr>
        <w:t>Chinese Language</w:t>
      </w:r>
    </w:p>
    <w:p>
      <w:pPr>
        <w:rPr>
          <w:sz w:val="24"/>
          <w:szCs w:val="24"/>
          <w:u w:val="single"/>
        </w:rPr>
      </w:pPr>
      <w:r>
        <w:rPr>
          <w:sz w:val="24"/>
          <w:szCs w:val="24"/>
          <w:u w:val="single"/>
        </w:rPr>
        <w:t>Features of the basic Chinese 1:</w:t>
      </w:r>
    </w:p>
    <w:p>
      <w:pPr/>
      <w:r>
        <w:t>Our course targets Chinese language Zero-beginners. In order to help students get used to living and studying in China, our course includes necessary words and expressions in daily conversation and tips for understanding different customs and culture in China.</w:t>
      </w:r>
    </w:p>
    <w:p>
      <w:pPr>
        <w:rPr>
          <w:sz w:val="24"/>
          <w:szCs w:val="24"/>
          <w:u w:val="single"/>
        </w:rPr>
      </w:pPr>
      <w:r>
        <w:rPr>
          <w:sz w:val="24"/>
          <w:szCs w:val="24"/>
          <w:u w:val="single"/>
        </w:rPr>
        <w:t>Features of the basic Chinese 2:</w:t>
      </w:r>
    </w:p>
    <w:p>
      <w:pPr/>
      <w:r>
        <w:t xml:space="preserve">Our course targets Chinese language beginners who have a little basic knowledge of the Chinese language. In order to help students build a good foundation of Chinese and help in communicating in China, our course is very practical. </w:t>
      </w:r>
    </w:p>
    <w:p>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Practical Training</w:t>
      </w:r>
    </w:p>
    <w:p>
      <w:pPr>
        <w:rPr>
          <w:b/>
          <w:bCs/>
        </w:rPr>
      </w:pPr>
      <w:r>
        <w:rPr>
          <w:b/>
          <w:bCs/>
        </w:rPr>
        <w:t>Field Study</w:t>
      </w:r>
    </w:p>
    <w:p>
      <w:pPr/>
      <w:r>
        <w:t>These internship trips will provide students with real-world experience of China’s development from different perspectives, and will help students to form their own understanding of China’s development. Students can also test the knowledge and skills they have learned in previous courses, then prepare and consolidate their dissertation.</w:t>
      </w:r>
    </w:p>
    <w:p>
      <w:pPr>
        <w:pStyle w:val="9"/>
        <w:adjustRightInd w:val="0"/>
        <w:snapToGrid w:val="0"/>
        <w:spacing w:line="300" w:lineRule="auto"/>
        <w:rPr>
          <w:rFonts w:ascii="Times New Roman" w:hAnsi="Times New Roman"/>
          <w:b/>
          <w:bCs/>
          <w:sz w:val="30"/>
          <w:szCs w:val="30"/>
        </w:rPr>
      </w:pPr>
    </w:p>
    <w:p>
      <w:pPr>
        <w:pStyle w:val="9"/>
        <w:adjustRightInd w:val="0"/>
        <w:snapToGrid w:val="0"/>
        <w:spacing w:line="300" w:lineRule="auto"/>
        <w:rPr>
          <w:rFonts w:ascii="Times New Roman" w:hAnsi="Times New Roman"/>
          <w:b/>
          <w:bCs/>
          <w:sz w:val="28"/>
          <w:szCs w:val="28"/>
        </w:rPr>
      </w:pPr>
      <w:r>
        <w:rPr>
          <w:rFonts w:ascii="Times New Roman" w:hAnsi="Times New Roman"/>
          <w:b/>
          <w:bCs/>
          <w:sz w:val="28"/>
          <w:szCs w:val="28"/>
        </w:rPr>
        <w:t>IV - Current Faculty (Course Professors)</w:t>
      </w:r>
    </w:p>
    <w:p>
      <w:pPr>
        <w:pStyle w:val="9"/>
        <w:adjustRightInd w:val="0"/>
        <w:snapToGrid w:val="0"/>
        <w:spacing w:line="300" w:lineRule="auto"/>
        <w:rPr>
          <w:rFonts w:ascii="Times New Roman" w:hAnsi="Times New Roman"/>
          <w:b/>
          <w:bCs/>
          <w:sz w:val="28"/>
          <w:szCs w:val="28"/>
        </w:rPr>
      </w:pPr>
    </w:p>
    <w:p>
      <w:pPr>
        <w:rPr>
          <w:b/>
          <w:bCs/>
        </w:rPr>
      </w:pPr>
      <w:bookmarkStart w:id="2" w:name="OLE_LINK3"/>
      <w:r>
        <w:rPr>
          <w:b/>
          <w:bCs/>
        </w:rPr>
        <w:t>CAO Feng: Assistant Professor</w:t>
      </w:r>
    </w:p>
    <w:p>
      <w:pPr/>
      <w:r>
        <w:t>Areas of Research: Public Organization and Management, Social Conflict Management, Social Security Policy, and Development Policy.</w:t>
      </w:r>
    </w:p>
    <w:p>
      <w:pPr/>
      <w:r>
        <w:t>Email: caof@tsinghua.edu.cn</w:t>
      </w:r>
    </w:p>
    <w:p>
      <w:pPr/>
    </w:p>
    <w:p>
      <w:pPr>
        <w:rPr>
          <w:b/>
          <w:bCs/>
        </w:rPr>
      </w:pPr>
      <w:r>
        <w:rPr>
          <w:b/>
          <w:bCs/>
        </w:rPr>
        <w:t>CHU Shulong: Professor</w:t>
      </w:r>
    </w:p>
    <w:p>
      <w:pPr/>
      <w:r>
        <w:t>Ph.D., George Washington University</w:t>
      </w:r>
    </w:p>
    <w:p>
      <w:pPr/>
      <w:r>
        <w:t>Areas of Research: Political science and international affairs, including political theories; international relations; American government and politics; Chinese foreign strategy and policy.</w:t>
      </w:r>
    </w:p>
    <w:p>
      <w:pPr>
        <w:rPr>
          <w:lang w:val="fr-FR"/>
        </w:rPr>
      </w:pPr>
      <w:r>
        <w:rPr>
          <w:lang w:val="fr-FR"/>
        </w:rPr>
        <w:t>Email: chushl@tsinghua.edu.cn</w:t>
      </w:r>
    </w:p>
    <w:bookmarkEnd w:id="2"/>
    <w:p>
      <w:pPr>
        <w:rPr>
          <w:b/>
          <w:bCs/>
          <w:lang w:val="fr-FR"/>
        </w:rPr>
      </w:pPr>
    </w:p>
    <w:p>
      <w:pPr>
        <w:rPr>
          <w:b/>
          <w:bCs/>
          <w:lang w:val="fr-FR"/>
        </w:rPr>
      </w:pPr>
      <w:r>
        <w:rPr>
          <w:b/>
          <w:bCs/>
          <w:lang w:val="fr-FR"/>
        </w:rPr>
        <w:t>DAI Yixin: Assistant Professor</w:t>
      </w:r>
    </w:p>
    <w:p>
      <w:pPr/>
      <w:r>
        <w:t>Ph.D., Syracuse University</w:t>
      </w:r>
    </w:p>
    <w:p>
      <w:pPr/>
      <w:r>
        <w:t>Areas of Research: Science and Technology Policy, Environmental Policy.</w:t>
      </w:r>
    </w:p>
    <w:p>
      <w:pPr>
        <w:rPr>
          <w:lang w:val="de-DE"/>
        </w:rPr>
      </w:pPr>
      <w:r>
        <w:rPr>
          <w:lang w:val="de-DE"/>
        </w:rPr>
        <w:t xml:space="preserve">Email: yixindai@tsinghua.edu.cn </w:t>
      </w:r>
    </w:p>
    <w:p>
      <w:pPr>
        <w:rPr>
          <w:lang w:val="de-DE"/>
        </w:rPr>
      </w:pPr>
    </w:p>
    <w:p>
      <w:pPr>
        <w:rPr>
          <w:b/>
          <w:bCs/>
          <w:lang w:val="de-DE"/>
        </w:rPr>
      </w:pPr>
      <w:r>
        <w:rPr>
          <w:b/>
          <w:bCs/>
          <w:lang w:val="de-DE"/>
        </w:rPr>
        <w:t>HU Angang: Professor</w:t>
      </w:r>
    </w:p>
    <w:p>
      <w:pPr/>
      <w:r>
        <w:t>Ph.D., Chinese Academy of Sciences</w:t>
      </w:r>
    </w:p>
    <w:p>
      <w:pPr/>
      <w:r>
        <w:t>Areas of Research: China studies; public policy.</w:t>
      </w:r>
    </w:p>
    <w:p>
      <w:pPr/>
      <w:r>
        <w:t xml:space="preserve">Email: </w:t>
      </w:r>
      <w:r>
        <w:fldChar w:fldCharType="begin"/>
      </w:r>
      <w:r>
        <w:instrText xml:space="preserve"> HYPERLINK "mailto:huangang@sohu.net" </w:instrText>
      </w:r>
      <w:r>
        <w:fldChar w:fldCharType="separate"/>
      </w:r>
      <w:r>
        <w:t>huangang@sohu.net</w:t>
      </w:r>
      <w:r>
        <w:fldChar w:fldCharType="end"/>
      </w:r>
    </w:p>
    <w:p>
      <w:pPr>
        <w:rPr>
          <w:b/>
          <w:bCs/>
        </w:rPr>
      </w:pPr>
    </w:p>
    <w:p>
      <w:pPr>
        <w:rPr>
          <w:b/>
          <w:bCs/>
        </w:rPr>
      </w:pPr>
      <w:r>
        <w:rPr>
          <w:b/>
          <w:bCs/>
        </w:rPr>
        <w:t>LIU Zhilin: Associate Professor</w:t>
      </w:r>
    </w:p>
    <w:p>
      <w:pPr/>
      <w:r>
        <w:t>Ph.D., Cornell University</w:t>
      </w:r>
    </w:p>
    <w:p>
      <w:pPr/>
      <w:r>
        <w:t>Area of research: Urban Policy and Governance, Housing Policy, Urban Social Geography, Sustainable Development, New Institutionalism Theory.</w:t>
      </w:r>
    </w:p>
    <w:p>
      <w:pPr>
        <w:rPr>
          <w:lang w:val="fr-FR"/>
        </w:rPr>
      </w:pPr>
      <w:r>
        <w:rPr>
          <w:lang w:val="fr-FR"/>
        </w:rPr>
        <w:t xml:space="preserve">Email: </w:t>
      </w:r>
      <w:r>
        <w:fldChar w:fldCharType="begin"/>
      </w:r>
      <w:r>
        <w:instrText xml:space="preserve"> HYPERLINK "mailto:zhilinliu@tsinghua.edu.cn" </w:instrText>
      </w:r>
      <w:r>
        <w:fldChar w:fldCharType="separate"/>
      </w:r>
      <w:r>
        <w:rPr>
          <w:lang w:val="fr-FR"/>
        </w:rPr>
        <w:t>zhilinliu@tsinghua.edu.cn</w:t>
      </w:r>
      <w:r>
        <w:rPr>
          <w:lang w:val="fr-FR"/>
        </w:rPr>
        <w:fldChar w:fldCharType="end"/>
      </w:r>
    </w:p>
    <w:p>
      <w:pPr>
        <w:rPr>
          <w:lang w:val="fr-FR"/>
        </w:rPr>
      </w:pPr>
    </w:p>
    <w:p>
      <w:pPr>
        <w:rPr>
          <w:b/>
          <w:bCs/>
          <w:lang w:val="fr-FR"/>
        </w:rPr>
      </w:pPr>
      <w:r>
        <w:rPr>
          <w:b/>
          <w:bCs/>
          <w:lang w:val="fr-FR"/>
        </w:rPr>
        <w:t>MEI Ciqi: Assistant Professor</w:t>
      </w:r>
    </w:p>
    <w:p>
      <w:pPr/>
      <w:r>
        <w:t>Ph.D., University of Maryland, College Park, USA</w:t>
      </w:r>
    </w:p>
    <w:p>
      <w:pPr/>
      <w:r>
        <w:t>Areas of Research: Comparative politics; China politics &amp; government; bureaucratic politics.</w:t>
      </w:r>
    </w:p>
    <w:p>
      <w:pPr/>
      <w:r>
        <w:t>Email: cmei@tsinghua.edu.cn</w:t>
      </w:r>
    </w:p>
    <w:p>
      <w:pPr>
        <w:rPr>
          <w:b/>
          <w:bCs/>
        </w:rPr>
      </w:pPr>
    </w:p>
    <w:p>
      <w:pPr>
        <w:rPr>
          <w:b/>
          <w:bCs/>
        </w:rPr>
      </w:pPr>
      <w:r>
        <w:rPr>
          <w:b/>
          <w:bCs/>
        </w:rPr>
        <w:t>MENG Bo: Assistant Professor</w:t>
      </w:r>
    </w:p>
    <w:p>
      <w:pPr/>
      <w:r>
        <w:t>MPA, Seattle University</w:t>
      </w:r>
    </w:p>
    <w:p>
      <w:pPr/>
      <w:r>
        <w:t>Areas of Research: Public administration; human resource management, managerial communication.</w:t>
      </w:r>
    </w:p>
    <w:p>
      <w:pPr/>
      <w:r>
        <w:t xml:space="preserve">Email: </w:t>
      </w:r>
      <w:r>
        <w:fldChar w:fldCharType="begin"/>
      </w:r>
      <w:r>
        <w:instrText xml:space="preserve"> HYPERLINK "mailto:bomeng@tsinghua.edu.cn" </w:instrText>
      </w:r>
      <w:r>
        <w:fldChar w:fldCharType="separate"/>
      </w:r>
      <w:r>
        <w:rPr>
          <w:rStyle w:val="18"/>
        </w:rPr>
        <w:t>bomeng@tsinghua.edu.cn</w:t>
      </w:r>
      <w:r>
        <w:rPr>
          <w:rStyle w:val="18"/>
        </w:rPr>
        <w:fldChar w:fldCharType="end"/>
      </w:r>
    </w:p>
    <w:p>
      <w:pPr/>
    </w:p>
    <w:p>
      <w:pPr>
        <w:rPr>
          <w:b/>
          <w:bCs/>
        </w:rPr>
      </w:pPr>
      <w:r>
        <w:rPr>
          <w:b/>
          <w:bCs/>
        </w:rPr>
        <w:t xml:space="preserve">WANG Feng: Visiting </w:t>
      </w:r>
      <w:r>
        <w:rPr>
          <w:b/>
          <w:bCs/>
        </w:rPr>
        <w:tab/>
      </w:r>
      <w:r>
        <w:rPr>
          <w:b/>
          <w:bCs/>
        </w:rPr>
        <w:t>Professor</w:t>
      </w:r>
    </w:p>
    <w:p>
      <w:pPr/>
      <w:r>
        <w:t>Senior Fellow at the Brookings Institute, Director of the Brookings-Tsinghua Center for Public Policy</w:t>
      </w:r>
    </w:p>
    <w:p>
      <w:pPr/>
      <w:r>
        <w:t>Ph.D., University of Michigan</w:t>
      </w:r>
    </w:p>
    <w:p>
      <w:pPr/>
      <w:r>
        <w:t>Area of Research: Contemporary Chinese Society, Post-Communist Societies, Social Inequality, Social Demography, Comparative Historical Demography.</w:t>
      </w:r>
    </w:p>
    <w:p>
      <w:pPr/>
      <w:r>
        <w:t>Email:fwang@brookings.edu</w:t>
      </w:r>
    </w:p>
    <w:p>
      <w:pPr>
        <w:rPr>
          <w:b/>
          <w:bCs/>
        </w:rPr>
      </w:pPr>
    </w:p>
    <w:p>
      <w:pPr>
        <w:rPr>
          <w:b/>
          <w:bCs/>
        </w:rPr>
      </w:pPr>
      <w:r>
        <w:rPr>
          <w:b/>
          <w:bCs/>
        </w:rPr>
        <w:t>WANG Qingxin: Professor</w:t>
      </w:r>
    </w:p>
    <w:p>
      <w:pPr/>
      <w:r>
        <w:t>Ph.D., State University of New York at Buffalo</w:t>
      </w:r>
    </w:p>
    <w:p>
      <w:pPr/>
      <w:r>
        <w:t>Areas of Research Interests: East Asian international relations, international relations theory, East Asian politics, and Confucian political thought.</w:t>
      </w:r>
    </w:p>
    <w:p>
      <w:pPr>
        <w:rPr>
          <w:lang w:val="fr-FR"/>
        </w:rPr>
      </w:pPr>
      <w:r>
        <w:rPr>
          <w:lang w:val="fr-FR"/>
        </w:rPr>
        <w:t xml:space="preserve">Email: </w:t>
      </w:r>
      <w:r>
        <w:fldChar w:fldCharType="begin"/>
      </w:r>
      <w:r>
        <w:instrText xml:space="preserve">HYPERLINK "mailto:wangqingxin@tsinghua.edu.cn"</w:instrText>
      </w:r>
      <w:r>
        <w:fldChar w:fldCharType="separate"/>
      </w:r>
      <w:r>
        <w:rPr>
          <w:lang w:val="fr-FR"/>
        </w:rPr>
        <w:t>wangqingxin@tsinghua.edu.cn</w:t>
      </w:r>
      <w:r>
        <w:fldChar w:fldCharType="end"/>
      </w:r>
    </w:p>
    <w:p>
      <w:pPr>
        <w:rPr>
          <w:b/>
          <w:bCs/>
          <w:lang w:val="fr-FR"/>
        </w:rPr>
      </w:pPr>
    </w:p>
    <w:p>
      <w:pPr>
        <w:rPr>
          <w:b/>
          <w:bCs/>
          <w:lang w:val="fr-FR"/>
        </w:rPr>
      </w:pPr>
      <w:r>
        <w:rPr>
          <w:b/>
          <w:bCs/>
          <w:lang w:val="fr-FR"/>
        </w:rPr>
        <w:t>YIN Chengzhi: Associate Professor</w:t>
      </w:r>
    </w:p>
    <w:p>
      <w:pPr/>
      <w:r>
        <w:t>Ph. D., Peking University</w:t>
      </w:r>
    </w:p>
    <w:p>
      <w:pPr/>
      <w:r>
        <w:t>Area of Research: Urban Planning</w:t>
      </w:r>
    </w:p>
    <w:p>
      <w:pPr/>
      <w:r>
        <w:t>Email: yincz@tsinghua.edu.cn</w:t>
      </w:r>
    </w:p>
    <w:p>
      <w:pPr>
        <w:rPr>
          <w:b/>
          <w:bCs/>
        </w:rPr>
      </w:pPr>
    </w:p>
    <w:p>
      <w:pPr>
        <w:rPr>
          <w:b/>
          <w:bCs/>
        </w:rPr>
      </w:pPr>
      <w:r>
        <w:rPr>
          <w:b/>
          <w:bCs/>
        </w:rPr>
        <w:t>YU An: Professor</w:t>
      </w:r>
    </w:p>
    <w:p>
      <w:pPr/>
      <w:r>
        <w:t>Ph.D., Peking University</w:t>
      </w:r>
    </w:p>
    <w:p>
      <w:pPr/>
      <w:r>
        <w:t>Area of Research: Administrative law; WTO legal issues; and government procurement.</w:t>
      </w:r>
    </w:p>
    <w:p>
      <w:pPr>
        <w:rPr>
          <w:b/>
          <w:bCs/>
        </w:rPr>
      </w:pPr>
    </w:p>
    <w:p>
      <w:pPr>
        <w:rPr>
          <w:b/>
          <w:bCs/>
        </w:rPr>
      </w:pPr>
      <w:r>
        <w:rPr>
          <w:b/>
          <w:bCs/>
        </w:rPr>
        <w:t>YU Qiao: Professor</w:t>
      </w:r>
    </w:p>
    <w:p>
      <w:pPr/>
      <w:r>
        <w:t>Ph.D., Michigan State University</w:t>
      </w:r>
    </w:p>
    <w:p>
      <w:pPr/>
      <w:r>
        <w:t>Areas of Research: Public management; economics; public finance</w:t>
      </w:r>
    </w:p>
    <w:p>
      <w:pPr/>
      <w:r>
        <w:t xml:space="preserve">Email: </w:t>
      </w:r>
      <w:r>
        <w:fldChar w:fldCharType="begin"/>
      </w:r>
      <w:r>
        <w:instrText xml:space="preserve"> HYPERLINK "mailto:qiaoyu@tsinghua.edu.cn" </w:instrText>
      </w:r>
      <w:r>
        <w:fldChar w:fldCharType="separate"/>
      </w:r>
      <w:r>
        <w:t>qiaoyu@tsinghua.edu.cn</w:t>
      </w:r>
      <w:r>
        <w:fldChar w:fldCharType="end"/>
      </w:r>
    </w:p>
    <w:p>
      <w:pPr>
        <w:rPr>
          <w:b/>
          <w:bCs/>
        </w:rPr>
      </w:pPr>
    </w:p>
    <w:p>
      <w:pPr>
        <w:rPr>
          <w:b/>
          <w:bCs/>
        </w:rPr>
      </w:pPr>
      <w:r>
        <w:rPr>
          <w:b/>
          <w:bCs/>
        </w:rPr>
        <w:t>ZHANG Yanbing: Assistant Professor</w:t>
      </w:r>
    </w:p>
    <w:p>
      <w:pPr/>
      <w:r>
        <w:t>Ph.D., University of Sheffield, United Kingdom</w:t>
      </w:r>
    </w:p>
    <w:p>
      <w:pPr/>
      <w:r>
        <w:t>Areas of Research: politics; plutonomy</w:t>
      </w:r>
    </w:p>
    <w:p>
      <w:pPr>
        <w:rPr>
          <w:lang w:val="de-DE"/>
        </w:rPr>
      </w:pPr>
      <w:r>
        <w:rPr>
          <w:lang w:val="de-DE"/>
        </w:rPr>
        <w:t xml:space="preserve">E-mail: </w:t>
      </w:r>
      <w:r>
        <w:fldChar w:fldCharType="begin"/>
      </w:r>
      <w:r>
        <w:instrText xml:space="preserve">HYPERLINK "mailto:zhangyanbing@tsinghua.edu.cn"</w:instrText>
      </w:r>
      <w:r>
        <w:fldChar w:fldCharType="separate"/>
      </w:r>
      <w:r>
        <w:rPr>
          <w:rStyle w:val="18"/>
          <w:lang w:val="de-DE"/>
        </w:rPr>
        <w:t>zhangyanbing@tsinghua.edu.cn</w:t>
      </w:r>
      <w:r>
        <w:fldChar w:fldCharType="end"/>
      </w:r>
    </w:p>
    <w:p>
      <w:pPr>
        <w:rPr>
          <w:lang w:val="de-DE"/>
        </w:rPr>
      </w:pPr>
    </w:p>
    <w:p>
      <w:pPr>
        <w:pStyle w:val="9"/>
        <w:adjustRightInd w:val="0"/>
        <w:snapToGrid w:val="0"/>
        <w:spacing w:line="300" w:lineRule="auto"/>
        <w:rPr>
          <w:rFonts w:ascii="Times New Roman" w:hAnsi="Times New Roman"/>
          <w:b/>
          <w:bCs/>
          <w:sz w:val="28"/>
          <w:szCs w:val="28"/>
        </w:rPr>
      </w:pPr>
      <w:r>
        <w:rPr>
          <w:rFonts w:ascii="Times New Roman" w:hAnsi="Times New Roman"/>
          <w:b/>
          <w:bCs/>
          <w:sz w:val="28"/>
          <w:szCs w:val="28"/>
        </w:rPr>
        <w:t>V. Admission Information</w:t>
      </w:r>
    </w:p>
    <w:p>
      <w:pPr>
        <w:pStyle w:val="9"/>
        <w:adjustRightInd w:val="0"/>
        <w:snapToGrid w:val="0"/>
        <w:spacing w:line="300" w:lineRule="auto"/>
        <w:rPr>
          <w:rFonts w:ascii="Times New Roman" w:hAnsi="Times New Roman"/>
          <w:b/>
          <w:bCs/>
          <w:sz w:val="30"/>
          <w:szCs w:val="30"/>
        </w:rPr>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Qualification of Applicants:</w:t>
      </w:r>
    </w:p>
    <w:p>
      <w:pPr>
        <w:widowControl/>
        <w:jc w:val="left"/>
        <w:rPr>
          <w:color w:val="000000"/>
        </w:rPr>
      </w:pPr>
      <w:r>
        <w:rPr>
          <w:color w:val="000000"/>
        </w:rPr>
        <w:t>1. Government officials from developing countries (at least Division Head and above);</w:t>
      </w:r>
    </w:p>
    <w:p>
      <w:pPr>
        <w:widowControl/>
        <w:jc w:val="left"/>
        <w:rPr>
          <w:color w:val="000000"/>
        </w:rPr>
      </w:pPr>
      <w:r>
        <w:rPr>
          <w:color w:val="000000"/>
        </w:rPr>
        <w:t>2. No less than 5-year working experiences;</w:t>
      </w:r>
    </w:p>
    <w:p>
      <w:pPr>
        <w:widowControl/>
        <w:jc w:val="left"/>
        <w:rPr>
          <w:color w:val="000000"/>
        </w:rPr>
      </w:pPr>
      <w:r>
        <w:rPr>
          <w:color w:val="000000"/>
        </w:rPr>
        <w:t>3. Under the age of 45;</w:t>
      </w:r>
    </w:p>
    <w:p>
      <w:pPr>
        <w:widowControl/>
        <w:jc w:val="left"/>
        <w:rPr>
          <w:color w:val="000000"/>
        </w:rPr>
      </w:pPr>
      <w:r>
        <w:rPr>
          <w:color w:val="000000"/>
        </w:rPr>
        <w:t>4. High English proficiency.</w:t>
      </w:r>
    </w:p>
    <w:p>
      <w:pPr>
        <w:widowControl/>
        <w:jc w:val="left"/>
        <w:rPr>
          <w:color w:val="000000"/>
        </w:rPr>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Application Materials</w:t>
      </w:r>
    </w:p>
    <w:p>
      <w:pPr>
        <w:widowControl/>
        <w:numPr>
          <w:ilvl w:val="0"/>
          <w:numId w:val="9"/>
        </w:numPr>
        <w:tabs>
          <w:tab w:val="left" w:pos="284"/>
          <w:tab w:val="left" w:pos="360"/>
        </w:tabs>
        <w:ind w:left="283" w:hanging="283" w:hangingChars="135"/>
        <w:jc w:val="left"/>
        <w:rPr>
          <w:color w:val="000000"/>
        </w:rPr>
      </w:pPr>
      <w:r>
        <w:rPr>
          <w:color w:val="000000"/>
        </w:rPr>
        <w:t>The completed Foreigner's Application Form for Admission to Graduate Programs of Tsinghua University with 2-inch recent photo, signed by the applicant. (See Application Procedure Step 2).</w:t>
      </w:r>
    </w:p>
    <w:p>
      <w:pPr>
        <w:widowControl/>
        <w:numPr>
          <w:ilvl w:val="0"/>
          <w:numId w:val="9"/>
        </w:numPr>
        <w:tabs>
          <w:tab w:val="left" w:pos="284"/>
          <w:tab w:val="left" w:pos="360"/>
        </w:tabs>
        <w:ind w:left="283" w:hanging="283" w:hangingChars="135"/>
        <w:jc w:val="left"/>
        <w:rPr>
          <w:color w:val="000000"/>
        </w:rPr>
      </w:pPr>
      <w:r>
        <w:rPr>
          <w:color w:val="000000"/>
        </w:rPr>
        <w:t>Three recent photos of passport size</w:t>
      </w:r>
      <w:r>
        <w:t>.</w:t>
      </w:r>
      <w:r>
        <w:rPr>
          <w:color w:val="000000"/>
        </w:rPr>
        <w:t xml:space="preserve"> One photo should be pasted onto the application form.</w:t>
      </w:r>
    </w:p>
    <w:p>
      <w:pPr>
        <w:widowControl/>
        <w:numPr>
          <w:ilvl w:val="0"/>
          <w:numId w:val="9"/>
        </w:numPr>
        <w:tabs>
          <w:tab w:val="left" w:pos="284"/>
          <w:tab w:val="left" w:pos="360"/>
        </w:tabs>
        <w:jc w:val="left"/>
        <w:rPr>
          <w:color w:val="000000"/>
        </w:rPr>
      </w:pPr>
      <w:r>
        <w:t>A formal degree certificate of your Bachelor’s Degree (notarized photocopy).</w:t>
      </w:r>
    </w:p>
    <w:p>
      <w:pPr>
        <w:widowControl/>
        <w:numPr>
          <w:ilvl w:val="0"/>
          <w:numId w:val="9"/>
        </w:numPr>
        <w:tabs>
          <w:tab w:val="left" w:pos="284"/>
          <w:tab w:val="left" w:pos="360"/>
        </w:tabs>
        <w:jc w:val="left"/>
        <w:rPr>
          <w:color w:val="000000"/>
        </w:rPr>
      </w:pPr>
      <w:r>
        <w:rPr>
          <w:color w:val="000000"/>
        </w:rPr>
        <w:t>Academic</w:t>
      </w:r>
      <w:r>
        <w:t xml:space="preserve"> transcript of your Bachelor’s education (original or notarized photocopy).</w:t>
      </w:r>
    </w:p>
    <w:p>
      <w:pPr>
        <w:widowControl/>
        <w:numPr>
          <w:ilvl w:val="0"/>
          <w:numId w:val="9"/>
        </w:numPr>
        <w:tabs>
          <w:tab w:val="left" w:pos="284"/>
          <w:tab w:val="left" w:pos="360"/>
        </w:tabs>
        <w:jc w:val="left"/>
        <w:rPr>
          <w:color w:val="000000"/>
        </w:rPr>
      </w:pPr>
      <w:r>
        <w:t>Personal statement (in English).</w:t>
      </w:r>
    </w:p>
    <w:p>
      <w:pPr>
        <w:widowControl/>
        <w:numPr>
          <w:ilvl w:val="0"/>
          <w:numId w:val="9"/>
        </w:numPr>
        <w:tabs>
          <w:tab w:val="left" w:pos="284"/>
          <w:tab w:val="left" w:pos="360"/>
        </w:tabs>
        <w:jc w:val="left"/>
        <w:rPr>
          <w:color w:val="000000"/>
        </w:rPr>
      </w:pPr>
      <w:r>
        <w:t>Two letters of recommendatio</w:t>
      </w:r>
      <w:r>
        <w:rPr>
          <w:rFonts w:hint="eastAsia"/>
        </w:rPr>
        <w:t>n: One from the university, the other from the current employer.</w:t>
      </w:r>
      <w:r>
        <w:t xml:space="preserve"> (original in English or in Chinese).</w:t>
      </w:r>
    </w:p>
    <w:p>
      <w:pPr>
        <w:numPr>
          <w:ilvl w:val="0"/>
          <w:numId w:val="9"/>
        </w:numPr>
        <w:tabs>
          <w:tab w:val="left" w:pos="0"/>
          <w:tab w:val="left" w:pos="284"/>
          <w:tab w:val="left" w:pos="360"/>
        </w:tabs>
        <w:ind w:left="0" w:firstLine="0"/>
        <w:rPr>
          <w:color w:val="000000"/>
        </w:rPr>
      </w:pPr>
      <w:r>
        <w:t>One photocopy of your passport (personal and ordinary passport).</w:t>
      </w:r>
    </w:p>
    <w:p>
      <w:pPr>
        <w:numPr>
          <w:ilvl w:val="0"/>
          <w:numId w:val="9"/>
        </w:numPr>
        <w:tabs>
          <w:tab w:val="left" w:pos="284"/>
          <w:tab w:val="left" w:pos="360"/>
        </w:tabs>
        <w:ind w:left="284" w:hanging="284"/>
        <w:rPr>
          <w:color w:val="000000"/>
        </w:rPr>
      </w:pPr>
      <w:r>
        <w:t>Photocopies of English language proficiency test results (For non-native English speakers or applicants whose instruction media of tertiary education is not English, evidence of English proficiency must be demonstrated by a passing TOEFL or IELTS score. A GRE score is desirable but not required.)</w:t>
      </w:r>
    </w:p>
    <w:p>
      <w:pPr>
        <w:numPr>
          <w:ilvl w:val="0"/>
          <w:numId w:val="9"/>
        </w:numPr>
        <w:tabs>
          <w:tab w:val="left" w:pos="284"/>
          <w:tab w:val="left" w:pos="360"/>
        </w:tabs>
        <w:ind w:left="284" w:hanging="284"/>
        <w:rPr>
          <w:color w:val="000000"/>
        </w:rPr>
      </w:pPr>
      <w:r>
        <w:t>Foreigner Physical Examination Form.</w:t>
      </w:r>
    </w:p>
    <w:p>
      <w:pPr>
        <w:numPr>
          <w:ilvl w:val="0"/>
          <w:numId w:val="9"/>
        </w:numPr>
        <w:tabs>
          <w:tab w:val="left" w:pos="284"/>
          <w:tab w:val="left" w:pos="360"/>
        </w:tabs>
        <w:ind w:left="284" w:hanging="284"/>
        <w:rPr>
          <w:color w:val="000000"/>
        </w:rPr>
      </w:pPr>
      <w:r>
        <w:rPr>
          <w:color w:val="000000"/>
        </w:rPr>
        <w:t>Chinese Government Scholarship</w:t>
      </w:r>
      <w:r>
        <w:rPr>
          <w:rFonts w:hint="eastAsia"/>
        </w:rPr>
        <w:t xml:space="preserve"> Application Form.</w:t>
      </w:r>
    </w:p>
    <w:p>
      <w:pPr>
        <w:widowControl/>
        <w:ind w:left="360"/>
        <w:jc w:val="left"/>
        <w:rPr>
          <w:color w:val="000000"/>
        </w:rPr>
      </w:pPr>
    </w:p>
    <w:p>
      <w:pPr>
        <w:spacing w:before="156"/>
        <w:ind w:firstLine="422" w:firstLineChars="200"/>
        <w:rPr>
          <w:b/>
          <w:color w:val="000000"/>
        </w:rPr>
      </w:pPr>
      <w:r>
        <w:rPr>
          <w:b/>
          <w:color w:val="000000"/>
        </w:rPr>
        <w:t xml:space="preserve">The documents provided should be the original documents </w:t>
      </w:r>
      <w:r>
        <w:rPr>
          <w:b/>
          <w:color w:val="000000"/>
          <w:u w:val="single"/>
        </w:rPr>
        <w:t>in Chinese or in English</w:t>
      </w:r>
      <w:r>
        <w:rPr>
          <w:b/>
          <w:color w:val="000000"/>
        </w:rPr>
        <w:t xml:space="preserve">; otherwise notarized translations in Chinese or English are required. </w:t>
      </w:r>
    </w:p>
    <w:p>
      <w:pPr>
        <w:widowControl/>
        <w:ind w:left="360"/>
        <w:jc w:val="left"/>
        <w:rPr>
          <w:color w:val="000000"/>
        </w:rPr>
      </w:pPr>
    </w:p>
    <w:p>
      <w:pPr>
        <w:widowControl/>
        <w:ind w:left="360"/>
        <w:jc w:val="left"/>
        <w:rPr>
          <w:b/>
          <w:bCs/>
          <w:color w:val="000000"/>
        </w:rPr>
      </w:pPr>
      <w:r>
        <w:rPr>
          <w:b/>
          <w:bCs/>
          <w:color w:val="000000"/>
        </w:rPr>
        <w:t>None of the above application materials will be returned.</w:t>
      </w:r>
    </w:p>
    <w:p>
      <w:pPr>
        <w:widowControl/>
        <w:ind w:left="360"/>
        <w:jc w:val="left"/>
        <w:rPr>
          <w:b/>
          <w:bCs/>
          <w:color w:val="000000"/>
        </w:rPr>
      </w:pPr>
    </w:p>
    <w:p>
      <w:pPr>
        <w:widowControl/>
        <w:ind w:left="360"/>
        <w:jc w:val="left"/>
        <w:rPr>
          <w:b/>
          <w:bCs/>
        </w:rPr>
      </w:pPr>
      <w:r>
        <w:rPr>
          <w:b/>
          <w:bCs/>
        </w:rPr>
        <w:t>Only applicants recommended by the Embassy of the People’s Republic of China will be considered and admitted.</w:t>
      </w:r>
    </w:p>
    <w:p>
      <w:pPr>
        <w:widowControl/>
        <w:jc w:val="left"/>
        <w:rPr>
          <w:b/>
          <w:bCs/>
          <w:color w:val="000000"/>
        </w:rPr>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Application Procedure</w:t>
      </w:r>
    </w:p>
    <w:p>
      <w:pPr>
        <w:spacing w:beforeLines="50" w:line="320" w:lineRule="exact"/>
        <w:ind w:firstLine="441" w:firstLineChars="209"/>
        <w:rPr>
          <w:b/>
          <w:color w:val="000000"/>
        </w:rPr>
      </w:pPr>
      <w:r>
        <w:rPr>
          <w:b/>
          <w:color w:val="000000"/>
        </w:rPr>
        <w:t xml:space="preserve">Step </w:t>
      </w:r>
      <w:r>
        <w:rPr>
          <w:rFonts w:hint="eastAsia"/>
          <w:b/>
          <w:color w:val="000000"/>
        </w:rPr>
        <w:t>1</w:t>
      </w:r>
      <w:r>
        <w:rPr>
          <w:b/>
          <w:color w:val="000000"/>
        </w:rPr>
        <w:t>:  Online Application</w:t>
      </w:r>
    </w:p>
    <w:p>
      <w:pPr>
        <w:spacing w:beforeLines="50" w:line="320" w:lineRule="exact"/>
        <w:ind w:firstLine="439" w:firstLineChars="209"/>
        <w:rPr>
          <w:color w:val="000000"/>
          <w:u w:val="single"/>
        </w:rPr>
      </w:pPr>
      <w:r>
        <w:rPr>
          <w:color w:val="000000"/>
          <w:u w:val="single"/>
        </w:rPr>
        <w:t xml:space="preserve">Complete On-line Application on the website of International Students Office, Tsinghua University (http://is.tsinghua.edu.cn). Print, sign and attach 2-inch photo on the Application Form produced by the system after the application status changes to "verified". </w:t>
      </w:r>
    </w:p>
    <w:p>
      <w:pPr>
        <w:spacing w:beforeLines="50" w:line="320" w:lineRule="exact"/>
        <w:ind w:firstLine="439" w:firstLineChars="209"/>
        <w:rPr>
          <w:color w:val="000000"/>
          <w:u w:val="single"/>
        </w:rPr>
      </w:pPr>
      <w:r>
        <w:rPr>
          <w:color w:val="000000"/>
          <w:u w:val="single"/>
        </w:rPr>
        <w:t xml:space="preserve">Submit </w:t>
      </w:r>
      <w:r>
        <w:rPr>
          <w:u w:val="single"/>
        </w:rPr>
        <w:t xml:space="preserve">the Form along with other application materials listed above to </w:t>
      </w:r>
      <w:r>
        <w:rPr>
          <w:color w:val="000000"/>
          <w:u w:val="single"/>
        </w:rPr>
        <w:t>the Economic and Commercial Counsellor’s Office of the Chinese Embassy in your own country.</w:t>
      </w:r>
    </w:p>
    <w:p>
      <w:pPr>
        <w:pStyle w:val="9"/>
        <w:adjustRightInd w:val="0"/>
        <w:snapToGrid w:val="0"/>
        <w:spacing w:line="300" w:lineRule="auto"/>
        <w:rPr>
          <w:rFonts w:ascii="Times New Roman" w:hAnsi="Times New Roman"/>
          <w:b/>
          <w:bCs/>
          <w:sz w:val="30"/>
          <w:szCs w:val="30"/>
        </w:rPr>
      </w:pPr>
    </w:p>
    <w:p>
      <w:pPr>
        <w:widowControl/>
        <w:spacing w:before="100" w:beforeAutospacing="1" w:after="100" w:afterAutospacing="1"/>
        <w:ind w:firstLine="422" w:firstLineChars="200"/>
        <w:rPr>
          <w:b/>
          <w:color w:val="000000"/>
        </w:rPr>
      </w:pPr>
      <w:r>
        <w:rPr>
          <w:b/>
          <w:color w:val="000000"/>
        </w:rPr>
        <w:t xml:space="preserve">Step </w:t>
      </w:r>
      <w:r>
        <w:rPr>
          <w:rFonts w:hint="eastAsia"/>
          <w:b/>
          <w:color w:val="000000"/>
        </w:rPr>
        <w:t>2</w:t>
      </w:r>
      <w:r>
        <w:rPr>
          <w:b/>
          <w:color w:val="000000"/>
        </w:rPr>
        <w:t>:  Scholarship Application</w:t>
      </w:r>
    </w:p>
    <w:p>
      <w:pPr>
        <w:spacing w:beforeLines="50" w:line="320" w:lineRule="exact"/>
        <w:ind w:firstLine="439" w:firstLineChars="209"/>
        <w:rPr>
          <w:color w:val="000000"/>
          <w:u w:val="single"/>
        </w:rPr>
      </w:pPr>
      <w:r>
        <w:rPr>
          <w:color w:val="000000"/>
        </w:rPr>
        <w:t xml:space="preserve"> </w:t>
      </w:r>
      <w:r>
        <w:rPr>
          <w:color w:val="000000"/>
          <w:u w:val="single"/>
        </w:rPr>
        <w:t>Complete Chinese Government Scholarship Online Application (</w:t>
      </w:r>
      <w:r>
        <w:fldChar w:fldCharType="begin"/>
      </w:r>
      <w:r>
        <w:instrText xml:space="preserve"> HYPERLINK "http://laihua.csc.edu.cn/" </w:instrText>
      </w:r>
      <w:r>
        <w:fldChar w:fldCharType="separate"/>
      </w:r>
      <w:r>
        <w:rPr>
          <w:u w:val="single"/>
        </w:rPr>
        <w:t>http://laihua.csc.edu.cn</w:t>
      </w:r>
      <w:r>
        <w:rPr>
          <w:u w:val="single"/>
        </w:rPr>
        <w:fldChar w:fldCharType="end"/>
      </w:r>
      <w:r>
        <w:rPr>
          <w:u w:val="single"/>
        </w:rPr>
        <w:t xml:space="preserve">). </w:t>
      </w:r>
      <w:r>
        <w:rPr>
          <w:color w:val="000000"/>
          <w:u w:val="single"/>
        </w:rPr>
        <w:t>Print, sign and attach 2-inch photo on the Application Form produced by the system.</w:t>
      </w:r>
      <w:r>
        <w:rPr>
          <w:u w:val="single"/>
        </w:rPr>
        <w:t xml:space="preserve"> </w:t>
      </w:r>
      <w:r>
        <w:rPr>
          <w:color w:val="000000"/>
          <w:u w:val="single"/>
        </w:rPr>
        <w:t xml:space="preserve">Submit </w:t>
      </w:r>
      <w:r>
        <w:rPr>
          <w:u w:val="single"/>
        </w:rPr>
        <w:t xml:space="preserve">the Form along with other application materials listed above to </w:t>
      </w:r>
      <w:r>
        <w:rPr>
          <w:color w:val="000000"/>
          <w:u w:val="single"/>
        </w:rPr>
        <w:t>the Economic and Commercial Counsellor’s Office of the Chinese Embassy in your own country.</w:t>
      </w:r>
    </w:p>
    <w:p>
      <w:pPr>
        <w:spacing w:beforeLines="50" w:line="320" w:lineRule="exact"/>
        <w:ind w:firstLine="439" w:firstLineChars="209"/>
        <w:rPr>
          <w:rFonts w:hint="eastAsia"/>
          <w:color w:val="000000"/>
          <w:u w:val="single"/>
        </w:rPr>
      </w:pPr>
      <w:r>
        <w:rPr>
          <w:u w:val="single"/>
        </w:rPr>
        <w:t>Please be noted that the agency number of Tsinghua University is 10003.</w:t>
      </w:r>
      <w:r>
        <w:rPr>
          <w:color w:val="000000"/>
          <w:u w:val="single"/>
        </w:rPr>
        <w:t xml:space="preserve"> </w:t>
      </w:r>
    </w:p>
    <w:p>
      <w:pPr>
        <w:spacing w:beforeLines="50" w:line="320" w:lineRule="exact"/>
        <w:ind w:firstLine="439" w:firstLineChars="209"/>
        <w:rPr>
          <w:rFonts w:hint="eastAsia"/>
          <w:color w:val="000000"/>
          <w:u w:val="single"/>
        </w:rPr>
      </w:pPr>
    </w:p>
    <w:p>
      <w:pPr>
        <w:spacing w:beforeLines="50" w:line="320" w:lineRule="exact"/>
        <w:ind w:firstLine="441" w:firstLineChars="209"/>
        <w:rPr>
          <w:b/>
          <w:color w:val="000000"/>
          <w:u w:val="single"/>
        </w:rPr>
      </w:pPr>
      <w:r>
        <w:rPr>
          <w:rFonts w:hint="eastAsia"/>
          <w:b/>
          <w:color w:val="000000"/>
          <w:u w:val="single"/>
        </w:rPr>
        <w:t>Step3: Other Application Material Preparation</w:t>
      </w:r>
    </w:p>
    <w:p>
      <w:pPr>
        <w:spacing w:beforeLines="50" w:line="320" w:lineRule="exact"/>
        <w:ind w:firstLine="439" w:firstLineChars="209"/>
        <w:rPr>
          <w:color w:val="000000"/>
          <w:u w:val="single"/>
        </w:rPr>
      </w:pPr>
    </w:p>
    <w:p>
      <w:pPr>
        <w:spacing w:beforeLines="50" w:line="320" w:lineRule="exact"/>
        <w:ind w:firstLine="441" w:firstLineChars="209"/>
        <w:rPr>
          <w:b/>
          <w:color w:val="000000"/>
        </w:rPr>
      </w:pPr>
      <w:r>
        <w:rPr>
          <w:b/>
          <w:color w:val="000000"/>
        </w:rPr>
        <w:t xml:space="preserve">Step </w:t>
      </w:r>
      <w:r>
        <w:rPr>
          <w:rFonts w:hint="eastAsia"/>
          <w:b/>
          <w:color w:val="000000"/>
        </w:rPr>
        <w:t>4</w:t>
      </w:r>
      <w:r>
        <w:rPr>
          <w:b/>
          <w:color w:val="000000"/>
        </w:rPr>
        <w:t>:</w:t>
      </w:r>
      <w:r>
        <w:rPr>
          <w:color w:val="000000"/>
        </w:rPr>
        <w:t xml:space="preserve"> </w:t>
      </w:r>
      <w:r>
        <w:rPr>
          <w:b/>
          <w:color w:val="000000"/>
        </w:rPr>
        <w:t>Recommendation</w:t>
      </w:r>
    </w:p>
    <w:p>
      <w:pPr>
        <w:spacing w:beforeLines="50" w:line="320" w:lineRule="exact"/>
        <w:ind w:firstLine="439" w:firstLineChars="209"/>
        <w:rPr>
          <w:color w:val="000000"/>
          <w:u w:val="single"/>
        </w:rPr>
      </w:pPr>
      <w:r>
        <w:rPr>
          <w:color w:val="000000"/>
          <w:u w:val="single"/>
        </w:rPr>
        <w:t>Acquire recommendation from your current organization to the Economic and Commercial Counsellor’s Office</w:t>
      </w:r>
      <w:r>
        <w:rPr>
          <w:u w:val="single"/>
        </w:rPr>
        <w:t>, Embassy</w:t>
      </w:r>
      <w:r>
        <w:rPr>
          <w:color w:val="000000"/>
          <w:u w:val="single"/>
        </w:rPr>
        <w:t xml:space="preserve"> of the People’s Republic of China in your own country and get approved.</w:t>
      </w:r>
    </w:p>
    <w:p>
      <w:pPr>
        <w:widowControl/>
        <w:spacing w:before="100" w:beforeAutospacing="1" w:after="100" w:afterAutospacing="1"/>
        <w:ind w:firstLine="420" w:firstLineChars="200"/>
        <w:rPr>
          <w:color w:val="000000"/>
          <w:u w:val="single"/>
        </w:rPr>
      </w:pPr>
    </w:p>
    <w:p>
      <w:pPr>
        <w:pStyle w:val="9"/>
        <w:adjustRightInd w:val="0"/>
        <w:snapToGrid w:val="0"/>
        <w:spacing w:line="300" w:lineRule="auto"/>
        <w:rPr>
          <w:rFonts w:ascii="Times New Roman" w:hAnsi="Times New Roman"/>
          <w:b/>
          <w:bCs/>
          <w:sz w:val="30"/>
          <w:szCs w:val="30"/>
        </w:rPr>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Important Dates</w:t>
      </w:r>
    </w:p>
    <w:tbl>
      <w:tblPr>
        <w:tblStyle w:val="20"/>
        <w:tblW w:w="74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4503" w:type="dxa"/>
            <w:vAlign w:val="center"/>
          </w:tcPr>
          <w:p>
            <w:pPr>
              <w:spacing w:beforeLines="50" w:afterLines="50"/>
              <w:jc w:val="center"/>
              <w:rPr>
                <w:b/>
              </w:rPr>
            </w:pPr>
            <w:r>
              <w:rPr>
                <w:b/>
              </w:rPr>
              <w:t>Events</w:t>
            </w:r>
          </w:p>
        </w:tc>
        <w:tc>
          <w:tcPr>
            <w:tcW w:w="2929" w:type="dxa"/>
            <w:vAlign w:val="center"/>
          </w:tcPr>
          <w:p>
            <w:pPr>
              <w:spacing w:beforeLines="50" w:afterLines="50"/>
              <w:jc w:val="center"/>
              <w:rPr>
                <w:b/>
                <w:u w:val="single"/>
              </w:rPr>
            </w:pPr>
            <w:r>
              <w:rPr>
                <w:b/>
                <w:u w:val="single"/>
              </w:rPr>
              <w:t>Deadline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4503" w:type="dxa"/>
            <w:vAlign w:val="center"/>
          </w:tcPr>
          <w:p>
            <w:pPr>
              <w:spacing w:beforeLines="50" w:afterLines="50"/>
            </w:pPr>
            <w:r>
              <w:t>Deadline of Application Materials</w:t>
            </w:r>
          </w:p>
        </w:tc>
        <w:tc>
          <w:tcPr>
            <w:tcW w:w="2929" w:type="dxa"/>
            <w:vAlign w:val="center"/>
          </w:tcPr>
          <w:p>
            <w:pPr>
              <w:spacing w:beforeLines="50" w:afterLines="50"/>
            </w:pPr>
            <w:r>
              <w:rPr>
                <w:rFonts w:hint="eastAsia"/>
              </w:rPr>
              <w:t>December 20</w:t>
            </w:r>
            <w:r>
              <w:t>, 201</w:t>
            </w: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jc w:val="center"/>
        </w:trPr>
        <w:tc>
          <w:tcPr>
            <w:tcW w:w="4503" w:type="dxa"/>
            <w:vAlign w:val="center"/>
          </w:tcPr>
          <w:p>
            <w:pPr>
              <w:spacing w:beforeLines="50" w:afterLines="50"/>
            </w:pPr>
            <w:r>
              <w:t>Admission Notice and Visa Application Form (JW201) Issued</w:t>
            </w:r>
          </w:p>
        </w:tc>
        <w:tc>
          <w:tcPr>
            <w:tcW w:w="2929" w:type="dxa"/>
            <w:vAlign w:val="center"/>
          </w:tcPr>
          <w:p>
            <w:pPr>
              <w:spacing w:beforeLines="50" w:afterLines="50"/>
            </w:pPr>
            <w:r>
              <w:t xml:space="preserve">January </w:t>
            </w:r>
            <w:r>
              <w:rPr>
                <w:rFonts w:hint="eastAsia"/>
              </w:rPr>
              <w:t>20</w:t>
            </w:r>
            <w:r>
              <w:t>, 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Lines="50" w:afterLines="50"/>
            </w:pPr>
            <w:r>
              <w:t>Registration</w:t>
            </w:r>
          </w:p>
        </w:tc>
        <w:tc>
          <w:tcPr>
            <w:tcW w:w="2929" w:type="dxa"/>
            <w:vAlign w:val="center"/>
          </w:tcPr>
          <w:p>
            <w:pPr>
              <w:spacing w:beforeLines="50" w:afterLines="50"/>
            </w:pPr>
            <w:r>
              <w:t>February, 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Lines="50" w:afterLines="50"/>
            </w:pPr>
            <w:r>
              <w:t>Semester I</w:t>
            </w:r>
          </w:p>
        </w:tc>
        <w:tc>
          <w:tcPr>
            <w:tcW w:w="2929" w:type="dxa"/>
            <w:vAlign w:val="center"/>
          </w:tcPr>
          <w:p>
            <w:pPr>
              <w:spacing w:beforeLines="50" w:afterLines="50"/>
            </w:pPr>
            <w:r>
              <w:t>February, 201</w:t>
            </w:r>
            <w:r>
              <w:rPr>
                <w:rFonts w:hint="eastAsia"/>
              </w:rPr>
              <w:t>6</w:t>
            </w:r>
            <w:r>
              <w:t>-June, 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Lines="50" w:afterLines="50"/>
            </w:pPr>
            <w:r>
              <w:t>Summer Program</w:t>
            </w:r>
          </w:p>
        </w:tc>
        <w:tc>
          <w:tcPr>
            <w:tcW w:w="2929" w:type="dxa"/>
            <w:vAlign w:val="center"/>
          </w:tcPr>
          <w:p>
            <w:pPr>
              <w:spacing w:beforeLines="50" w:afterLines="50"/>
            </w:pPr>
            <w:r>
              <w:t>July, 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Lines="50" w:afterLines="50"/>
            </w:pPr>
            <w:r>
              <w:t>Semester II</w:t>
            </w:r>
          </w:p>
        </w:tc>
        <w:tc>
          <w:tcPr>
            <w:tcW w:w="2929" w:type="dxa"/>
            <w:vAlign w:val="center"/>
          </w:tcPr>
          <w:p>
            <w:pPr>
              <w:spacing w:beforeLines="50" w:afterLines="50"/>
            </w:pPr>
            <w:r>
              <w:t>August, 201</w:t>
            </w:r>
            <w:r>
              <w:rPr>
                <w:rFonts w:hint="eastAsia"/>
              </w:rPr>
              <w:t>6</w:t>
            </w:r>
            <w:r>
              <w:t>-December, 201</w:t>
            </w: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3" w:type="dxa"/>
            <w:vAlign w:val="center"/>
          </w:tcPr>
          <w:p>
            <w:pPr>
              <w:spacing w:beforeLines="50" w:afterLines="50"/>
            </w:pPr>
            <w:r>
              <w:t>Return to Home Country</w:t>
            </w:r>
          </w:p>
        </w:tc>
        <w:tc>
          <w:tcPr>
            <w:tcW w:w="2929" w:type="dxa"/>
            <w:vAlign w:val="center"/>
          </w:tcPr>
          <w:p>
            <w:pPr>
              <w:spacing w:beforeLines="50" w:afterLines="50"/>
            </w:pPr>
            <w:r>
              <w:t>January, 201</w:t>
            </w:r>
            <w:r>
              <w:rPr>
                <w:rFonts w:hint="eastAsia"/>
              </w:rPr>
              <w:t>7</w:t>
            </w:r>
          </w:p>
        </w:tc>
      </w:tr>
    </w:tbl>
    <w:p>
      <w:pPr>
        <w:spacing w:beforeLines="50" w:afterLines="50"/>
        <w:rPr>
          <w:color w:val="000000"/>
        </w:rPr>
      </w:pPr>
      <w:r>
        <w:t>Note: Registration time is to be confirmed on the Admission Notice.</w:t>
      </w: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Scholarship / Tuition Fee</w:t>
      </w:r>
    </w:p>
    <w:p>
      <w:pPr>
        <w:spacing w:beforeLines="50" w:afterLines="50"/>
      </w:pPr>
      <w:r>
        <w:t>The admitted students will be financially supported by the Chinese Government. The scholarship will cover the following:</w:t>
      </w:r>
    </w:p>
    <w:p>
      <w:pPr>
        <w:numPr>
          <w:ilvl w:val="0"/>
          <w:numId w:val="10"/>
        </w:numPr>
        <w:tabs>
          <w:tab w:val="left" w:pos="360"/>
        </w:tabs>
        <w:spacing w:beforeLines="50" w:afterLines="50"/>
      </w:pPr>
      <w:r>
        <w:t>Tuition fee (paid by the Chinese government)</w:t>
      </w:r>
    </w:p>
    <w:p>
      <w:pPr>
        <w:numPr>
          <w:ilvl w:val="0"/>
          <w:numId w:val="10"/>
        </w:numPr>
        <w:tabs>
          <w:tab w:val="left" w:pos="360"/>
        </w:tabs>
        <w:spacing w:beforeLines="50" w:afterLines="50"/>
      </w:pPr>
      <w:r>
        <w:t>Monthly stipend of RMB 2,000</w:t>
      </w:r>
    </w:p>
    <w:p>
      <w:pPr>
        <w:numPr>
          <w:ilvl w:val="0"/>
          <w:numId w:val="10"/>
        </w:numPr>
        <w:tabs>
          <w:tab w:val="left" w:pos="360"/>
        </w:tabs>
        <w:spacing w:beforeLines="50" w:afterLines="50"/>
      </w:pPr>
      <w:r>
        <w:t>One-time relocation: RMB 1,500</w:t>
      </w:r>
    </w:p>
    <w:p>
      <w:pPr>
        <w:numPr>
          <w:ilvl w:val="0"/>
          <w:numId w:val="10"/>
        </w:numPr>
        <w:tabs>
          <w:tab w:val="left" w:pos="360"/>
        </w:tabs>
        <w:spacing w:beforeLines="50" w:afterLines="50"/>
      </w:pPr>
      <w:r>
        <w:t xml:space="preserve">Field </w:t>
      </w:r>
      <w:r>
        <w:rPr>
          <w:rFonts w:hint="eastAsia"/>
        </w:rPr>
        <w:t>Trip</w:t>
      </w:r>
    </w:p>
    <w:p>
      <w:pPr>
        <w:numPr>
          <w:ilvl w:val="0"/>
          <w:numId w:val="10"/>
        </w:numPr>
        <w:tabs>
          <w:tab w:val="left" w:pos="360"/>
        </w:tabs>
        <w:spacing w:beforeLines="50" w:afterLines="50"/>
      </w:pPr>
      <w:r>
        <w:t>Accommodation in a single-bedroom in the student dormitory on campus</w:t>
      </w:r>
    </w:p>
    <w:p>
      <w:pPr>
        <w:numPr>
          <w:ilvl w:val="0"/>
          <w:numId w:val="10"/>
        </w:numPr>
        <w:tabs>
          <w:tab w:val="left" w:pos="360"/>
        </w:tabs>
        <w:spacing w:beforeLines="50" w:afterLines="50"/>
      </w:pPr>
      <w:r>
        <w:t>One-time round trip air tickets</w:t>
      </w:r>
    </w:p>
    <w:p>
      <w:pPr>
        <w:numPr>
          <w:ilvl w:val="0"/>
          <w:numId w:val="10"/>
        </w:numPr>
        <w:tabs>
          <w:tab w:val="left" w:pos="360"/>
        </w:tabs>
        <w:spacing w:beforeLines="50" w:afterLines="50"/>
      </w:pPr>
      <w:r>
        <w:t>Medical insurance (</w:t>
      </w:r>
      <w:r>
        <w:rPr>
          <w:rFonts w:hint="eastAsia"/>
        </w:rPr>
        <w:t xml:space="preserve">please refer to the </w:t>
      </w:r>
      <w:r>
        <w:fldChar w:fldCharType="begin"/>
      </w:r>
      <w:r>
        <w:instrText xml:space="preserve"> HYPERLINK "http://www.lxbx.net/tbzn/lxbx-tb02.html" </w:instrText>
      </w:r>
      <w:r>
        <w:fldChar w:fldCharType="separate"/>
      </w:r>
      <w:r>
        <w:rPr>
          <w:rFonts w:hint="eastAsia"/>
        </w:rPr>
        <w:t>http://www.lxbx.net/tbzn/lxbx-tb02.html</w:t>
      </w:r>
      <w:r>
        <w:rPr>
          <w:rFonts w:hint="eastAsia"/>
        </w:rPr>
        <w:fldChar w:fldCharType="end"/>
      </w:r>
      <w:r>
        <w:rPr>
          <w:rFonts w:hint="eastAsia"/>
        </w:rPr>
        <w:t xml:space="preserve"> for the insurance coverage</w:t>
      </w:r>
      <w:r>
        <w:t>)</w:t>
      </w:r>
    </w:p>
    <w:p>
      <w:pPr>
        <w:spacing w:beforeLines="50" w:afterLines="50"/>
      </w:pPr>
    </w:p>
    <w:p>
      <w:pPr>
        <w:pStyle w:val="9"/>
        <w:adjustRightInd w:val="0"/>
        <w:snapToGrid w:val="0"/>
        <w:spacing w:line="300" w:lineRule="auto"/>
        <w:rPr>
          <w:rFonts w:ascii="Times New Roman" w:hAnsi="Times New Roman"/>
          <w:b/>
          <w:bCs/>
          <w:sz w:val="30"/>
          <w:szCs w:val="30"/>
        </w:rPr>
      </w:pPr>
      <w:r>
        <w:rPr>
          <w:rFonts w:ascii="Times New Roman" w:hAnsi="Times New Roman"/>
          <w:b/>
          <w:bCs/>
          <w:sz w:val="30"/>
          <w:szCs w:val="30"/>
        </w:rPr>
        <w:t>Contact Information:</w:t>
      </w:r>
    </w:p>
    <w:p>
      <w:pPr>
        <w:spacing w:beforeLines="50" w:afterLines="50"/>
      </w:pPr>
      <w:r>
        <w:t>Tel: (86)10-62795912</w:t>
      </w:r>
      <w:r>
        <w:br w:type="textWrapping"/>
      </w:r>
      <w:r>
        <w:t>Fax: (86)10-62782853</w:t>
      </w:r>
      <w:r>
        <w:br w:type="textWrapping"/>
      </w:r>
      <w:r>
        <w:t>E-mail: impa</w:t>
      </w:r>
      <w:r>
        <w:fldChar w:fldCharType="begin"/>
      </w:r>
      <w:r>
        <w:instrText xml:space="preserve"> HYPERLINK "mailto:mid@tsinghua.edu.cn" </w:instrText>
      </w:r>
      <w:r>
        <w:fldChar w:fldCharType="separate"/>
      </w:r>
      <w:r>
        <w:t>@tsinghua.edu.cn</w:t>
      </w:r>
      <w:r>
        <w:fldChar w:fldCharType="end"/>
      </w:r>
      <w:r>
        <w:br w:type="textWrapping"/>
      </w:r>
      <w:r>
        <w:t xml:space="preserve">Website: </w:t>
      </w:r>
      <w:r>
        <w:fldChar w:fldCharType="begin"/>
      </w:r>
      <w:r>
        <w:instrText xml:space="preserve"> HYPERLINK "http://www.sppm.tsinghua.edu.cn" </w:instrText>
      </w:r>
      <w:r>
        <w:fldChar w:fldCharType="separate"/>
      </w:r>
      <w:r>
        <w:t>http://www.sppm.tsinghua.edu.cn</w:t>
      </w:r>
      <w:r>
        <w:fldChar w:fldCharType="end"/>
      </w:r>
      <w:r>
        <w:br w:type="textWrapping"/>
      </w:r>
      <w:r>
        <w:t>Address: Room 201 - IMPA Program Office</w:t>
      </w:r>
      <w:r>
        <w:br w:type="textWrapping"/>
      </w:r>
      <w:r>
        <w:t xml:space="preserve">        School of Public Policy and Management</w:t>
      </w:r>
      <w:r>
        <w:br w:type="textWrapping"/>
      </w:r>
      <w:r>
        <w:t xml:space="preserve">        Tsinghua University</w:t>
      </w:r>
      <w:r>
        <w:br w:type="textWrapping"/>
      </w:r>
      <w:r>
        <w:t xml:space="preserve">        Beijing 100084, P. R. China</w:t>
      </w:r>
    </w:p>
    <w:p>
      <w:pP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r>
        <w:t>The information above is subject to change by the School of Public Policy and Management, Tsinghua Universit</w:t>
      </w:r>
      <w:r>
        <w:rPr>
          <w:rFonts w:hint="eastAsia"/>
        </w:rPr>
        <w:t>y</w:t>
      </w:r>
    </w:p>
    <w:p>
      <w:pPr>
        <w:spacing w:line="300" w:lineRule="exact"/>
      </w:pPr>
      <w:bookmarkStart w:id="3" w:name="_GoBack"/>
      <w:bookmarkEnd w:id="3"/>
    </w:p>
    <w:sectPr>
      <w:headerReference r:id="rId5" w:type="default"/>
      <w:footerReference r:id="rId6" w:type="default"/>
      <w:pgSz w:w="11906" w:h="16838"/>
      <w:pgMar w:top="1440" w:right="1800" w:bottom="1440" w:left="1800" w:header="0" w:footer="0"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Courier New">
    <w:panose1 w:val="02070309020205020404"/>
    <w:charset w:val="00"/>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roman"/>
    <w:pitch w:val="default"/>
    <w:sig w:usb0="E1002EFF" w:usb1="C000605B" w:usb2="00000029" w:usb3="00000000" w:csb0="200101FF" w:csb1="20280000"/>
  </w:font>
  <w:font w:name="微软雅黑">
    <w:panose1 w:val="020B0503020204020204"/>
    <w:charset w:val="86"/>
    <w:family w:val="roman"/>
    <w:pitch w:val="default"/>
    <w:sig w:usb0="80000287" w:usb1="280F3C52" w:usb2="00000016" w:usb3="00000000" w:csb0="0004001F" w:csb1="00000000"/>
  </w:font>
  <w:font w:name="Verdana">
    <w:panose1 w:val="020B0604030504040204"/>
    <w:charset w:val="00"/>
    <w:family w:val="decorative"/>
    <w:pitch w:val="default"/>
    <w:sig w:usb0="A10006FF" w:usb1="4000205B" w:usb2="00000010" w:usb3="00000000" w:csb0="2000019F" w:csb1="00000000"/>
  </w:font>
  <w:font w:name="Verdana">
    <w:panose1 w:val="020B0604030504040204"/>
    <w:charset w:val="00"/>
    <w:family w:val="swiss"/>
    <w:pitch w:val="variable"/>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jc w:val="center"/>
    </w:pPr>
    <w:r>
      <w:rPr>
        <w:lang w:val="zh-CN"/>
      </w:rPr>
      <w:t xml:space="preserve"> </w:t>
    </w:r>
    <w:r>
      <w:rPr>
        <w:b/>
        <w:bCs/>
      </w:rPr>
      <w:fldChar w:fldCharType="begin"/>
    </w:r>
    <w:r>
      <w:rPr>
        <w:b/>
        <w:bCs/>
      </w:rPr>
      <w:instrText xml:space="preserve">PAGE</w:instrText>
    </w:r>
    <w:r>
      <w:rPr>
        <w:b/>
        <w:bCs/>
      </w:rPr>
      <w:fldChar w:fldCharType="separate"/>
    </w:r>
    <w:r>
      <w:rPr>
        <w:b/>
        <w:bCs/>
      </w:rPr>
      <w:t>2</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26</w:t>
    </w:r>
    <w:r>
      <w:rPr>
        <w:b/>
        <w:bCs/>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2"/>
      <w:rPr>
        <w:b/>
        <w:bCs/>
        <w:color w:val="000080"/>
        <w:sz w:val="22"/>
        <w:szCs w:val="22"/>
      </w:rPr>
    </w:pPr>
    <w:r>
      <w:rPr>
        <w:b/>
        <w:bCs/>
        <w:color w:val="000080"/>
      </w:rPr>
      <w:t>IMPA, SCHOOL OF PUBLIC POLICY AND MANAGEMENT, TSINGHUA UNIVERSITY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2"/>
      <w:pBdr>
        <w:bottom w:val="none" w:color="auto" w:sz="0" w:space="0"/>
      </w:pBd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70695381">
    <w:nsid w:val="22041ED5"/>
    <w:multiLevelType w:val="multilevel"/>
    <w:tmpl w:val="22041ED5"/>
    <w:lvl w:ilvl="0" w:tentative="1">
      <w:start w:val="1"/>
      <w:numFmt w:val="decimal"/>
      <w:lvlText w:val="%1."/>
      <w:lvlJc w:val="left"/>
      <w:pPr>
        <w:ind w:left="360" w:hanging="36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202286557">
    <w:nsid w:val="47A96FDD"/>
    <w:multiLevelType w:val="multilevel"/>
    <w:tmpl w:val="47A96FDD"/>
    <w:lvl w:ilvl="0" w:tentative="1">
      <w:start w:val="1"/>
      <w:numFmt w:val="bullet"/>
      <w:lvlText w:val=""/>
      <w:lvlJc w:val="left"/>
      <w:pPr>
        <w:tabs>
          <w:tab w:val="left" w:pos="420"/>
        </w:tabs>
        <w:ind w:left="420" w:hanging="420"/>
      </w:pPr>
      <w:rPr>
        <w:rFonts w:hint="default" w:ascii="Wingdings" w:hAnsi="Wingdings"/>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abstractNum w:abstractNumId="163984328">
    <w:nsid w:val="09C633C8"/>
    <w:multiLevelType w:val="multilevel"/>
    <w:tmpl w:val="09C633C8"/>
    <w:lvl w:ilvl="0" w:tentative="1">
      <w:start w:val="1"/>
      <w:numFmt w:val="decimal"/>
      <w:lvlText w:val="%1."/>
      <w:lvlJc w:val="left"/>
      <w:pPr>
        <w:ind w:left="780" w:hanging="420"/>
      </w:pPr>
      <w:rPr>
        <w:rFonts w:cs="Times New Roman"/>
      </w:rPr>
    </w:lvl>
    <w:lvl w:ilvl="1" w:tentative="1">
      <w:start w:val="1"/>
      <w:numFmt w:val="lowerLetter"/>
      <w:lvlText w:val="%2)"/>
      <w:lvlJc w:val="left"/>
      <w:pPr>
        <w:ind w:left="1200" w:hanging="420"/>
      </w:pPr>
      <w:rPr>
        <w:rFonts w:cs="Times New Roman"/>
      </w:rPr>
    </w:lvl>
    <w:lvl w:ilvl="2" w:tentative="1">
      <w:start w:val="1"/>
      <w:numFmt w:val="lowerRoman"/>
      <w:lvlText w:val="%3."/>
      <w:lvlJc w:val="right"/>
      <w:pPr>
        <w:ind w:left="1620" w:hanging="420"/>
      </w:pPr>
      <w:rPr>
        <w:rFonts w:cs="Times New Roman"/>
      </w:rPr>
    </w:lvl>
    <w:lvl w:ilvl="3" w:tentative="1">
      <w:start w:val="1"/>
      <w:numFmt w:val="decimal"/>
      <w:lvlText w:val="%4."/>
      <w:lvlJc w:val="left"/>
      <w:pPr>
        <w:ind w:left="2040" w:hanging="420"/>
      </w:pPr>
      <w:rPr>
        <w:rFonts w:cs="Times New Roman"/>
      </w:rPr>
    </w:lvl>
    <w:lvl w:ilvl="4" w:tentative="1">
      <w:start w:val="1"/>
      <w:numFmt w:val="lowerLetter"/>
      <w:lvlText w:val="%5)"/>
      <w:lvlJc w:val="left"/>
      <w:pPr>
        <w:ind w:left="2460" w:hanging="420"/>
      </w:pPr>
      <w:rPr>
        <w:rFonts w:cs="Times New Roman"/>
      </w:rPr>
    </w:lvl>
    <w:lvl w:ilvl="5" w:tentative="1">
      <w:start w:val="1"/>
      <w:numFmt w:val="lowerRoman"/>
      <w:lvlText w:val="%6."/>
      <w:lvlJc w:val="right"/>
      <w:pPr>
        <w:ind w:left="2880" w:hanging="420"/>
      </w:pPr>
      <w:rPr>
        <w:rFonts w:cs="Times New Roman"/>
      </w:rPr>
    </w:lvl>
    <w:lvl w:ilvl="6" w:tentative="1">
      <w:start w:val="1"/>
      <w:numFmt w:val="decimal"/>
      <w:lvlText w:val="%7."/>
      <w:lvlJc w:val="left"/>
      <w:pPr>
        <w:ind w:left="3300" w:hanging="420"/>
      </w:pPr>
      <w:rPr>
        <w:rFonts w:cs="Times New Roman"/>
      </w:rPr>
    </w:lvl>
    <w:lvl w:ilvl="7" w:tentative="1">
      <w:start w:val="1"/>
      <w:numFmt w:val="lowerLetter"/>
      <w:lvlText w:val="%8)"/>
      <w:lvlJc w:val="left"/>
      <w:pPr>
        <w:ind w:left="3720" w:hanging="420"/>
      </w:pPr>
      <w:rPr>
        <w:rFonts w:cs="Times New Roman"/>
      </w:rPr>
    </w:lvl>
    <w:lvl w:ilvl="8" w:tentative="1">
      <w:start w:val="1"/>
      <w:numFmt w:val="lowerRoman"/>
      <w:lvlText w:val="%9."/>
      <w:lvlJc w:val="right"/>
      <w:pPr>
        <w:ind w:left="4140" w:hanging="420"/>
      </w:pPr>
      <w:rPr>
        <w:rFonts w:cs="Times New Roman"/>
      </w:rPr>
    </w:lvl>
  </w:abstractNum>
  <w:abstractNum w:abstractNumId="958416546">
    <w:nsid w:val="392046A2"/>
    <w:multiLevelType w:val="multilevel"/>
    <w:tmpl w:val="392046A2"/>
    <w:lvl w:ilvl="0" w:tentative="1">
      <w:start w:val="1"/>
      <w:numFmt w:val="decimal"/>
      <w:lvlText w:val="%1."/>
      <w:lvlJc w:val="left"/>
      <w:pPr>
        <w:ind w:left="780" w:hanging="420"/>
      </w:pPr>
      <w:rPr>
        <w:rFonts w:cs="Times New Roman"/>
      </w:rPr>
    </w:lvl>
    <w:lvl w:ilvl="1" w:tentative="1">
      <w:start w:val="1"/>
      <w:numFmt w:val="lowerLetter"/>
      <w:lvlText w:val="%2)"/>
      <w:lvlJc w:val="left"/>
      <w:pPr>
        <w:ind w:left="1200" w:hanging="420"/>
      </w:pPr>
      <w:rPr>
        <w:rFonts w:cs="Times New Roman"/>
      </w:rPr>
    </w:lvl>
    <w:lvl w:ilvl="2" w:tentative="1">
      <w:start w:val="1"/>
      <w:numFmt w:val="lowerRoman"/>
      <w:lvlText w:val="%3."/>
      <w:lvlJc w:val="right"/>
      <w:pPr>
        <w:ind w:left="1620" w:hanging="420"/>
      </w:pPr>
      <w:rPr>
        <w:rFonts w:cs="Times New Roman"/>
      </w:rPr>
    </w:lvl>
    <w:lvl w:ilvl="3" w:tentative="1">
      <w:start w:val="1"/>
      <w:numFmt w:val="decimal"/>
      <w:lvlText w:val="%4."/>
      <w:lvlJc w:val="left"/>
      <w:pPr>
        <w:ind w:left="2040" w:hanging="420"/>
      </w:pPr>
      <w:rPr>
        <w:rFonts w:cs="Times New Roman"/>
      </w:rPr>
    </w:lvl>
    <w:lvl w:ilvl="4" w:tentative="1">
      <w:start w:val="1"/>
      <w:numFmt w:val="lowerLetter"/>
      <w:lvlText w:val="%5)"/>
      <w:lvlJc w:val="left"/>
      <w:pPr>
        <w:ind w:left="2460" w:hanging="420"/>
      </w:pPr>
      <w:rPr>
        <w:rFonts w:cs="Times New Roman"/>
      </w:rPr>
    </w:lvl>
    <w:lvl w:ilvl="5" w:tentative="1">
      <w:start w:val="1"/>
      <w:numFmt w:val="lowerRoman"/>
      <w:lvlText w:val="%6."/>
      <w:lvlJc w:val="right"/>
      <w:pPr>
        <w:ind w:left="2880" w:hanging="420"/>
      </w:pPr>
      <w:rPr>
        <w:rFonts w:cs="Times New Roman"/>
      </w:rPr>
    </w:lvl>
    <w:lvl w:ilvl="6" w:tentative="1">
      <w:start w:val="1"/>
      <w:numFmt w:val="decimal"/>
      <w:lvlText w:val="%7."/>
      <w:lvlJc w:val="left"/>
      <w:pPr>
        <w:ind w:left="3300" w:hanging="420"/>
      </w:pPr>
      <w:rPr>
        <w:rFonts w:cs="Times New Roman"/>
      </w:rPr>
    </w:lvl>
    <w:lvl w:ilvl="7" w:tentative="1">
      <w:start w:val="1"/>
      <w:numFmt w:val="lowerLetter"/>
      <w:lvlText w:val="%8)"/>
      <w:lvlJc w:val="left"/>
      <w:pPr>
        <w:ind w:left="3720" w:hanging="420"/>
      </w:pPr>
      <w:rPr>
        <w:rFonts w:cs="Times New Roman"/>
      </w:rPr>
    </w:lvl>
    <w:lvl w:ilvl="8" w:tentative="1">
      <w:start w:val="1"/>
      <w:numFmt w:val="lowerRoman"/>
      <w:lvlText w:val="%9."/>
      <w:lvlJc w:val="right"/>
      <w:pPr>
        <w:ind w:left="4140" w:hanging="420"/>
      </w:pPr>
      <w:rPr>
        <w:rFonts w:cs="Times New Roman"/>
      </w:rPr>
    </w:lvl>
  </w:abstractNum>
  <w:abstractNum w:abstractNumId="68619369">
    <w:nsid w:val="04170C69"/>
    <w:multiLevelType w:val="multilevel"/>
    <w:tmpl w:val="04170C69"/>
    <w:lvl w:ilvl="0" w:tentative="1">
      <w:start w:val="1"/>
      <w:numFmt w:val="decimal"/>
      <w:lvlText w:val="%1."/>
      <w:lvlJc w:val="left"/>
      <w:pPr>
        <w:ind w:left="360" w:hanging="36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635721769">
    <w:nsid w:val="617F2229"/>
    <w:multiLevelType w:val="multilevel"/>
    <w:tmpl w:val="617F2229"/>
    <w:lvl w:ilvl="0" w:tentative="1">
      <w:start w:val="1"/>
      <w:numFmt w:val="decimal"/>
      <w:lvlText w:val="%1．"/>
      <w:lvlJc w:val="left"/>
      <w:pPr>
        <w:ind w:left="360" w:hanging="36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123070989">
    <w:nsid w:val="7E8B7E0D"/>
    <w:multiLevelType w:val="multilevel"/>
    <w:tmpl w:val="7E8B7E0D"/>
    <w:lvl w:ilvl="0" w:tentative="1">
      <w:start w:val="5"/>
      <w:numFmt w:val="bullet"/>
      <w:lvlText w:val="—"/>
      <w:lvlJc w:val="left"/>
      <w:pPr>
        <w:ind w:left="360" w:hanging="360"/>
      </w:pPr>
      <w:rPr>
        <w:rFonts w:hint="default" w:ascii="Times New Roman" w:hAnsi="Times New Roman" w:eastAsia="宋体"/>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557133544">
    <w:nsid w:val="21352EE8"/>
    <w:multiLevelType w:val="multilevel"/>
    <w:tmpl w:val="21352EE8"/>
    <w:lvl w:ilvl="0" w:tentative="1">
      <w:start w:val="5"/>
      <w:numFmt w:val="bullet"/>
      <w:lvlText w:val="—"/>
      <w:lvlJc w:val="left"/>
      <w:pPr>
        <w:ind w:left="360" w:hanging="360"/>
      </w:pPr>
      <w:rPr>
        <w:rFonts w:hint="default" w:ascii="Times New Roman" w:hAnsi="Times New Roman" w:eastAsia="宋体"/>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721393376">
    <w:nsid w:val="669A60E0"/>
    <w:multiLevelType w:val="multilevel"/>
    <w:tmpl w:val="669A60E0"/>
    <w:lvl w:ilvl="0" w:tentative="1">
      <w:start w:val="1"/>
      <w:numFmt w:val="decimal"/>
      <w:lvlText w:val="%1."/>
      <w:lvlJc w:val="left"/>
      <w:pPr>
        <w:tabs>
          <w:tab w:val="left" w:pos="360"/>
        </w:tabs>
        <w:ind w:left="360" w:hanging="360"/>
      </w:pPr>
      <w:rPr>
        <w:rFonts w:hint="default" w:cs="Times New Roman"/>
      </w:rPr>
    </w:lvl>
    <w:lvl w:ilvl="1" w:tentative="1">
      <w:start w:val="1"/>
      <w:numFmt w:val="lowerLetter"/>
      <w:lvlText w:val="%2)"/>
      <w:lvlJc w:val="left"/>
      <w:pPr>
        <w:tabs>
          <w:tab w:val="left" w:pos="947"/>
        </w:tabs>
        <w:ind w:left="947" w:hanging="420"/>
      </w:pPr>
      <w:rPr>
        <w:rFonts w:cs="Times New Roman"/>
      </w:rPr>
    </w:lvl>
    <w:lvl w:ilvl="2" w:tentative="1">
      <w:start w:val="1"/>
      <w:numFmt w:val="lowerRoman"/>
      <w:lvlText w:val="%3."/>
      <w:lvlJc w:val="right"/>
      <w:pPr>
        <w:tabs>
          <w:tab w:val="left" w:pos="1367"/>
        </w:tabs>
        <w:ind w:left="1367" w:hanging="420"/>
      </w:pPr>
      <w:rPr>
        <w:rFonts w:cs="Times New Roman"/>
      </w:rPr>
    </w:lvl>
    <w:lvl w:ilvl="3" w:tentative="1">
      <w:start w:val="1"/>
      <w:numFmt w:val="decimal"/>
      <w:lvlText w:val="%4."/>
      <w:lvlJc w:val="left"/>
      <w:pPr>
        <w:tabs>
          <w:tab w:val="left" w:pos="1787"/>
        </w:tabs>
        <w:ind w:left="1787" w:hanging="420"/>
      </w:pPr>
      <w:rPr>
        <w:rFonts w:cs="Times New Roman"/>
      </w:rPr>
    </w:lvl>
    <w:lvl w:ilvl="4" w:tentative="1">
      <w:start w:val="1"/>
      <w:numFmt w:val="lowerLetter"/>
      <w:lvlText w:val="%5)"/>
      <w:lvlJc w:val="left"/>
      <w:pPr>
        <w:tabs>
          <w:tab w:val="left" w:pos="2207"/>
        </w:tabs>
        <w:ind w:left="2207" w:hanging="420"/>
      </w:pPr>
      <w:rPr>
        <w:rFonts w:cs="Times New Roman"/>
      </w:rPr>
    </w:lvl>
    <w:lvl w:ilvl="5" w:tentative="1">
      <w:start w:val="1"/>
      <w:numFmt w:val="lowerRoman"/>
      <w:lvlText w:val="%6."/>
      <w:lvlJc w:val="right"/>
      <w:pPr>
        <w:tabs>
          <w:tab w:val="left" w:pos="2627"/>
        </w:tabs>
        <w:ind w:left="2627" w:hanging="420"/>
      </w:pPr>
      <w:rPr>
        <w:rFonts w:cs="Times New Roman"/>
      </w:rPr>
    </w:lvl>
    <w:lvl w:ilvl="6" w:tentative="1">
      <w:start w:val="1"/>
      <w:numFmt w:val="decimal"/>
      <w:lvlText w:val="%7."/>
      <w:lvlJc w:val="left"/>
      <w:pPr>
        <w:tabs>
          <w:tab w:val="left" w:pos="3047"/>
        </w:tabs>
        <w:ind w:left="3047" w:hanging="420"/>
      </w:pPr>
      <w:rPr>
        <w:rFonts w:cs="Times New Roman"/>
      </w:rPr>
    </w:lvl>
    <w:lvl w:ilvl="7" w:tentative="1">
      <w:start w:val="1"/>
      <w:numFmt w:val="lowerLetter"/>
      <w:lvlText w:val="%8)"/>
      <w:lvlJc w:val="left"/>
      <w:pPr>
        <w:tabs>
          <w:tab w:val="left" w:pos="3467"/>
        </w:tabs>
        <w:ind w:left="3467" w:hanging="420"/>
      </w:pPr>
      <w:rPr>
        <w:rFonts w:cs="Times New Roman"/>
      </w:rPr>
    </w:lvl>
    <w:lvl w:ilvl="8" w:tentative="1">
      <w:start w:val="1"/>
      <w:numFmt w:val="lowerRoman"/>
      <w:lvlText w:val="%9."/>
      <w:lvlJc w:val="right"/>
      <w:pPr>
        <w:tabs>
          <w:tab w:val="left" w:pos="3887"/>
        </w:tabs>
        <w:ind w:left="3887" w:hanging="420"/>
      </w:pPr>
      <w:rPr>
        <w:rFonts w:cs="Times New Roman"/>
      </w:rPr>
    </w:lvl>
  </w:abstractNum>
  <w:abstractNum w:abstractNumId="139814072">
    <w:nsid w:val="085564B8"/>
    <w:multiLevelType w:val="multilevel"/>
    <w:tmpl w:val="085564B8"/>
    <w:lvl w:ilvl="0" w:tentative="1">
      <w:start w:val="1"/>
      <w:numFmt w:val="decimal"/>
      <w:lvlText w:val="%1."/>
      <w:lvlJc w:val="left"/>
      <w:pPr>
        <w:tabs>
          <w:tab w:val="left" w:pos="360"/>
        </w:tabs>
        <w:ind w:left="360" w:hanging="360"/>
      </w:pPr>
      <w:rPr>
        <w:rFonts w:hint="default"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570695381"/>
  </w:num>
  <w:num w:numId="2">
    <w:abstractNumId w:val="1202286557"/>
  </w:num>
  <w:num w:numId="3">
    <w:abstractNumId w:val="163984328"/>
  </w:num>
  <w:num w:numId="4">
    <w:abstractNumId w:val="958416546"/>
  </w:num>
  <w:num w:numId="5">
    <w:abstractNumId w:val="68619369"/>
  </w:num>
  <w:num w:numId="6">
    <w:abstractNumId w:val="1635721769"/>
  </w:num>
  <w:num w:numId="7">
    <w:abstractNumId w:val="557133544"/>
  </w:num>
  <w:num w:numId="8">
    <w:abstractNumId w:val="2123070989"/>
  </w:num>
  <w:num w:numId="9">
    <w:abstractNumId w:val="1721393376"/>
  </w:num>
  <w:num w:numId="10">
    <w:abstractNumId w:val="1398140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A24"/>
    <w:rsid w:val="00002CA9"/>
    <w:rsid w:val="000108D5"/>
    <w:rsid w:val="00010F30"/>
    <w:rsid w:val="0001276E"/>
    <w:rsid w:val="0001377F"/>
    <w:rsid w:val="00013ABC"/>
    <w:rsid w:val="00016BBE"/>
    <w:rsid w:val="00016D3E"/>
    <w:rsid w:val="00016E6D"/>
    <w:rsid w:val="00022536"/>
    <w:rsid w:val="0002568B"/>
    <w:rsid w:val="00026E3B"/>
    <w:rsid w:val="00027431"/>
    <w:rsid w:val="000316F2"/>
    <w:rsid w:val="00032870"/>
    <w:rsid w:val="000331D8"/>
    <w:rsid w:val="00037B4E"/>
    <w:rsid w:val="0004149C"/>
    <w:rsid w:val="00041781"/>
    <w:rsid w:val="000446D1"/>
    <w:rsid w:val="00045635"/>
    <w:rsid w:val="000523F6"/>
    <w:rsid w:val="000548BF"/>
    <w:rsid w:val="00056585"/>
    <w:rsid w:val="000614F6"/>
    <w:rsid w:val="00064173"/>
    <w:rsid w:val="00070767"/>
    <w:rsid w:val="00071474"/>
    <w:rsid w:val="00072B88"/>
    <w:rsid w:val="00075DB9"/>
    <w:rsid w:val="00076F2D"/>
    <w:rsid w:val="000775B0"/>
    <w:rsid w:val="000801BD"/>
    <w:rsid w:val="00083F27"/>
    <w:rsid w:val="00090143"/>
    <w:rsid w:val="00090FF8"/>
    <w:rsid w:val="00091524"/>
    <w:rsid w:val="00092B9E"/>
    <w:rsid w:val="00093771"/>
    <w:rsid w:val="0009444C"/>
    <w:rsid w:val="00094F13"/>
    <w:rsid w:val="000974AD"/>
    <w:rsid w:val="000A3494"/>
    <w:rsid w:val="000A425A"/>
    <w:rsid w:val="000A6D34"/>
    <w:rsid w:val="000B0B38"/>
    <w:rsid w:val="000B105E"/>
    <w:rsid w:val="000B2A20"/>
    <w:rsid w:val="000B454B"/>
    <w:rsid w:val="000B665D"/>
    <w:rsid w:val="000B6CD6"/>
    <w:rsid w:val="000C35AE"/>
    <w:rsid w:val="000D0A39"/>
    <w:rsid w:val="000D1B73"/>
    <w:rsid w:val="000D4BCF"/>
    <w:rsid w:val="000E36C8"/>
    <w:rsid w:val="000F1F60"/>
    <w:rsid w:val="000F2A0A"/>
    <w:rsid w:val="000F4A96"/>
    <w:rsid w:val="000F630B"/>
    <w:rsid w:val="000F647C"/>
    <w:rsid w:val="000F7A71"/>
    <w:rsid w:val="00100019"/>
    <w:rsid w:val="001048EB"/>
    <w:rsid w:val="00111D25"/>
    <w:rsid w:val="00111FDE"/>
    <w:rsid w:val="001122F6"/>
    <w:rsid w:val="001144DE"/>
    <w:rsid w:val="00115196"/>
    <w:rsid w:val="00115DB2"/>
    <w:rsid w:val="001201AE"/>
    <w:rsid w:val="001201C3"/>
    <w:rsid w:val="00121305"/>
    <w:rsid w:val="00124314"/>
    <w:rsid w:val="00127665"/>
    <w:rsid w:val="001319A5"/>
    <w:rsid w:val="00131B62"/>
    <w:rsid w:val="001336EE"/>
    <w:rsid w:val="00133955"/>
    <w:rsid w:val="001369C6"/>
    <w:rsid w:val="001369EC"/>
    <w:rsid w:val="00137CAA"/>
    <w:rsid w:val="001404D2"/>
    <w:rsid w:val="00140713"/>
    <w:rsid w:val="0014515C"/>
    <w:rsid w:val="00147642"/>
    <w:rsid w:val="001506EE"/>
    <w:rsid w:val="0015071A"/>
    <w:rsid w:val="0015136B"/>
    <w:rsid w:val="00151677"/>
    <w:rsid w:val="001557DE"/>
    <w:rsid w:val="00156B0E"/>
    <w:rsid w:val="00163FE0"/>
    <w:rsid w:val="00166973"/>
    <w:rsid w:val="00167C5F"/>
    <w:rsid w:val="001700D4"/>
    <w:rsid w:val="0017184F"/>
    <w:rsid w:val="001718D8"/>
    <w:rsid w:val="001722AA"/>
    <w:rsid w:val="00172A86"/>
    <w:rsid w:val="00172B9F"/>
    <w:rsid w:val="001732E5"/>
    <w:rsid w:val="00174E10"/>
    <w:rsid w:val="00174FFE"/>
    <w:rsid w:val="00175D6A"/>
    <w:rsid w:val="00181E35"/>
    <w:rsid w:val="00182AD2"/>
    <w:rsid w:val="00184447"/>
    <w:rsid w:val="00187D4E"/>
    <w:rsid w:val="00192137"/>
    <w:rsid w:val="00193854"/>
    <w:rsid w:val="00193F22"/>
    <w:rsid w:val="00195E59"/>
    <w:rsid w:val="001975D5"/>
    <w:rsid w:val="001A031E"/>
    <w:rsid w:val="001A05B6"/>
    <w:rsid w:val="001B0D28"/>
    <w:rsid w:val="001B10E1"/>
    <w:rsid w:val="001B3A54"/>
    <w:rsid w:val="001B452F"/>
    <w:rsid w:val="001B458C"/>
    <w:rsid w:val="001C045F"/>
    <w:rsid w:val="001C53FE"/>
    <w:rsid w:val="001C5FFE"/>
    <w:rsid w:val="001D077B"/>
    <w:rsid w:val="001D3A24"/>
    <w:rsid w:val="001D7767"/>
    <w:rsid w:val="001E07E8"/>
    <w:rsid w:val="001E123F"/>
    <w:rsid w:val="001E2FF2"/>
    <w:rsid w:val="001E57E2"/>
    <w:rsid w:val="001E694A"/>
    <w:rsid w:val="001F091D"/>
    <w:rsid w:val="001F10E5"/>
    <w:rsid w:val="001F1CAB"/>
    <w:rsid w:val="001F1FDB"/>
    <w:rsid w:val="001F3531"/>
    <w:rsid w:val="001F3A8B"/>
    <w:rsid w:val="001F4F76"/>
    <w:rsid w:val="001F4FF6"/>
    <w:rsid w:val="001F5B6B"/>
    <w:rsid w:val="001F7B96"/>
    <w:rsid w:val="001F7CBF"/>
    <w:rsid w:val="001F7CDC"/>
    <w:rsid w:val="0020167D"/>
    <w:rsid w:val="00201920"/>
    <w:rsid w:val="00203378"/>
    <w:rsid w:val="002039C0"/>
    <w:rsid w:val="0020543E"/>
    <w:rsid w:val="00205BC7"/>
    <w:rsid w:val="00210599"/>
    <w:rsid w:val="00210850"/>
    <w:rsid w:val="00210DB2"/>
    <w:rsid w:val="00210FF3"/>
    <w:rsid w:val="002118CE"/>
    <w:rsid w:val="00212CC2"/>
    <w:rsid w:val="00216AC6"/>
    <w:rsid w:val="002207B7"/>
    <w:rsid w:val="002211F2"/>
    <w:rsid w:val="00222195"/>
    <w:rsid w:val="00222480"/>
    <w:rsid w:val="00222D91"/>
    <w:rsid w:val="00223DE7"/>
    <w:rsid w:val="002272DE"/>
    <w:rsid w:val="00231B19"/>
    <w:rsid w:val="002322FE"/>
    <w:rsid w:val="0023473D"/>
    <w:rsid w:val="00235501"/>
    <w:rsid w:val="002356BE"/>
    <w:rsid w:val="00237CF5"/>
    <w:rsid w:val="0024064A"/>
    <w:rsid w:val="002419F6"/>
    <w:rsid w:val="0024331C"/>
    <w:rsid w:val="002434DB"/>
    <w:rsid w:val="00243F20"/>
    <w:rsid w:val="00244FFC"/>
    <w:rsid w:val="002462F4"/>
    <w:rsid w:val="00246D6C"/>
    <w:rsid w:val="00250012"/>
    <w:rsid w:val="00257F62"/>
    <w:rsid w:val="002609C3"/>
    <w:rsid w:val="0026200D"/>
    <w:rsid w:val="00264F48"/>
    <w:rsid w:val="00265D5F"/>
    <w:rsid w:val="0027000B"/>
    <w:rsid w:val="002704B3"/>
    <w:rsid w:val="00272753"/>
    <w:rsid w:val="00275666"/>
    <w:rsid w:val="00276D0A"/>
    <w:rsid w:val="002835D3"/>
    <w:rsid w:val="00290EEB"/>
    <w:rsid w:val="00292144"/>
    <w:rsid w:val="002924DE"/>
    <w:rsid w:val="00293229"/>
    <w:rsid w:val="002935F2"/>
    <w:rsid w:val="00296F1C"/>
    <w:rsid w:val="002A07D5"/>
    <w:rsid w:val="002A6821"/>
    <w:rsid w:val="002A70C2"/>
    <w:rsid w:val="002B240E"/>
    <w:rsid w:val="002B4F68"/>
    <w:rsid w:val="002B7E8C"/>
    <w:rsid w:val="002C0B46"/>
    <w:rsid w:val="002C0DF3"/>
    <w:rsid w:val="002D19A2"/>
    <w:rsid w:val="002D485C"/>
    <w:rsid w:val="002D53FE"/>
    <w:rsid w:val="002D591B"/>
    <w:rsid w:val="002D66DC"/>
    <w:rsid w:val="002D6839"/>
    <w:rsid w:val="002E5624"/>
    <w:rsid w:val="002E5835"/>
    <w:rsid w:val="002E63F8"/>
    <w:rsid w:val="002F1DCB"/>
    <w:rsid w:val="002F2B59"/>
    <w:rsid w:val="002F306C"/>
    <w:rsid w:val="002F3EFE"/>
    <w:rsid w:val="002F780E"/>
    <w:rsid w:val="00300B10"/>
    <w:rsid w:val="0030117C"/>
    <w:rsid w:val="00302E12"/>
    <w:rsid w:val="003030B1"/>
    <w:rsid w:val="00303733"/>
    <w:rsid w:val="00306124"/>
    <w:rsid w:val="003069D2"/>
    <w:rsid w:val="00312704"/>
    <w:rsid w:val="00313E51"/>
    <w:rsid w:val="00321674"/>
    <w:rsid w:val="00321D4F"/>
    <w:rsid w:val="00323B0C"/>
    <w:rsid w:val="00323DC5"/>
    <w:rsid w:val="00325828"/>
    <w:rsid w:val="00325C5E"/>
    <w:rsid w:val="00326E32"/>
    <w:rsid w:val="003270FB"/>
    <w:rsid w:val="0032712A"/>
    <w:rsid w:val="00331B55"/>
    <w:rsid w:val="003352E4"/>
    <w:rsid w:val="00336085"/>
    <w:rsid w:val="00336C15"/>
    <w:rsid w:val="003442DC"/>
    <w:rsid w:val="00346944"/>
    <w:rsid w:val="00346F9B"/>
    <w:rsid w:val="00350004"/>
    <w:rsid w:val="00351CE2"/>
    <w:rsid w:val="0035438E"/>
    <w:rsid w:val="003555C5"/>
    <w:rsid w:val="00360B1B"/>
    <w:rsid w:val="00364968"/>
    <w:rsid w:val="00365C20"/>
    <w:rsid w:val="00372B19"/>
    <w:rsid w:val="00373ECD"/>
    <w:rsid w:val="00390485"/>
    <w:rsid w:val="00390D4D"/>
    <w:rsid w:val="00390FB0"/>
    <w:rsid w:val="003A387B"/>
    <w:rsid w:val="003A4344"/>
    <w:rsid w:val="003B6286"/>
    <w:rsid w:val="003C082D"/>
    <w:rsid w:val="003C4586"/>
    <w:rsid w:val="003C47BA"/>
    <w:rsid w:val="003C4BF0"/>
    <w:rsid w:val="003C537F"/>
    <w:rsid w:val="003C69FA"/>
    <w:rsid w:val="003D057B"/>
    <w:rsid w:val="003D1DA3"/>
    <w:rsid w:val="003D52DB"/>
    <w:rsid w:val="003D5AAF"/>
    <w:rsid w:val="003D5F87"/>
    <w:rsid w:val="003D6168"/>
    <w:rsid w:val="003E0839"/>
    <w:rsid w:val="003E2984"/>
    <w:rsid w:val="003E4AEB"/>
    <w:rsid w:val="003E5745"/>
    <w:rsid w:val="003E65CF"/>
    <w:rsid w:val="003F0092"/>
    <w:rsid w:val="003F0399"/>
    <w:rsid w:val="003F133D"/>
    <w:rsid w:val="003F13DC"/>
    <w:rsid w:val="003F7080"/>
    <w:rsid w:val="00400392"/>
    <w:rsid w:val="0040202E"/>
    <w:rsid w:val="00402D84"/>
    <w:rsid w:val="00403DA4"/>
    <w:rsid w:val="004042EC"/>
    <w:rsid w:val="004050F8"/>
    <w:rsid w:val="004053CA"/>
    <w:rsid w:val="00405458"/>
    <w:rsid w:val="00413587"/>
    <w:rsid w:val="00414DB0"/>
    <w:rsid w:val="00414E2A"/>
    <w:rsid w:val="00422AEF"/>
    <w:rsid w:val="00424490"/>
    <w:rsid w:val="004254F5"/>
    <w:rsid w:val="0042590E"/>
    <w:rsid w:val="00431EDA"/>
    <w:rsid w:val="00441408"/>
    <w:rsid w:val="004435D8"/>
    <w:rsid w:val="00447A8A"/>
    <w:rsid w:val="0045041F"/>
    <w:rsid w:val="00450A77"/>
    <w:rsid w:val="0045184E"/>
    <w:rsid w:val="00451A8A"/>
    <w:rsid w:val="00461777"/>
    <w:rsid w:val="004625C0"/>
    <w:rsid w:val="004632CC"/>
    <w:rsid w:val="00463B8A"/>
    <w:rsid w:val="00465E62"/>
    <w:rsid w:val="004700BA"/>
    <w:rsid w:val="00471593"/>
    <w:rsid w:val="00471664"/>
    <w:rsid w:val="00472654"/>
    <w:rsid w:val="0047500C"/>
    <w:rsid w:val="00475FD0"/>
    <w:rsid w:val="004776B5"/>
    <w:rsid w:val="004838EE"/>
    <w:rsid w:val="004843CD"/>
    <w:rsid w:val="00486D9D"/>
    <w:rsid w:val="00487332"/>
    <w:rsid w:val="00487760"/>
    <w:rsid w:val="00490E81"/>
    <w:rsid w:val="00491E8E"/>
    <w:rsid w:val="0049322C"/>
    <w:rsid w:val="00495C30"/>
    <w:rsid w:val="00495D00"/>
    <w:rsid w:val="0049771B"/>
    <w:rsid w:val="004A08F8"/>
    <w:rsid w:val="004A10BE"/>
    <w:rsid w:val="004A453D"/>
    <w:rsid w:val="004A69C1"/>
    <w:rsid w:val="004B07B3"/>
    <w:rsid w:val="004B28F2"/>
    <w:rsid w:val="004B3856"/>
    <w:rsid w:val="004B4490"/>
    <w:rsid w:val="004B5C21"/>
    <w:rsid w:val="004B755E"/>
    <w:rsid w:val="004C2003"/>
    <w:rsid w:val="004C6D65"/>
    <w:rsid w:val="004D0C95"/>
    <w:rsid w:val="004D2505"/>
    <w:rsid w:val="004D3C79"/>
    <w:rsid w:val="004D5EFE"/>
    <w:rsid w:val="004D6A38"/>
    <w:rsid w:val="004E39BC"/>
    <w:rsid w:val="004E519B"/>
    <w:rsid w:val="004F1326"/>
    <w:rsid w:val="004F15E6"/>
    <w:rsid w:val="004F2123"/>
    <w:rsid w:val="004F30D5"/>
    <w:rsid w:val="004F4D43"/>
    <w:rsid w:val="004F6873"/>
    <w:rsid w:val="00500D79"/>
    <w:rsid w:val="00501E1D"/>
    <w:rsid w:val="005039BC"/>
    <w:rsid w:val="00504B7B"/>
    <w:rsid w:val="005072E0"/>
    <w:rsid w:val="00510B4C"/>
    <w:rsid w:val="005120B8"/>
    <w:rsid w:val="0051270E"/>
    <w:rsid w:val="005127B1"/>
    <w:rsid w:val="0051389B"/>
    <w:rsid w:val="005153FF"/>
    <w:rsid w:val="005155DD"/>
    <w:rsid w:val="00515AD7"/>
    <w:rsid w:val="005177B0"/>
    <w:rsid w:val="005214BE"/>
    <w:rsid w:val="005222CD"/>
    <w:rsid w:val="00524506"/>
    <w:rsid w:val="005255BB"/>
    <w:rsid w:val="005261EA"/>
    <w:rsid w:val="0052646C"/>
    <w:rsid w:val="00530D8F"/>
    <w:rsid w:val="005319E1"/>
    <w:rsid w:val="00531FA9"/>
    <w:rsid w:val="0053404C"/>
    <w:rsid w:val="005352EC"/>
    <w:rsid w:val="00535A93"/>
    <w:rsid w:val="005435C1"/>
    <w:rsid w:val="00544D0B"/>
    <w:rsid w:val="005450B2"/>
    <w:rsid w:val="005471F6"/>
    <w:rsid w:val="00555098"/>
    <w:rsid w:val="00556799"/>
    <w:rsid w:val="00557745"/>
    <w:rsid w:val="005611DE"/>
    <w:rsid w:val="00562BCE"/>
    <w:rsid w:val="00563787"/>
    <w:rsid w:val="00564357"/>
    <w:rsid w:val="005651D2"/>
    <w:rsid w:val="00566BDC"/>
    <w:rsid w:val="00566DC2"/>
    <w:rsid w:val="00570B34"/>
    <w:rsid w:val="00570C79"/>
    <w:rsid w:val="0057195A"/>
    <w:rsid w:val="00571C6B"/>
    <w:rsid w:val="00580A56"/>
    <w:rsid w:val="00581DB8"/>
    <w:rsid w:val="00582900"/>
    <w:rsid w:val="0058316C"/>
    <w:rsid w:val="00585B68"/>
    <w:rsid w:val="005867E8"/>
    <w:rsid w:val="005902B8"/>
    <w:rsid w:val="00590380"/>
    <w:rsid w:val="00591C45"/>
    <w:rsid w:val="00594216"/>
    <w:rsid w:val="005B1DDB"/>
    <w:rsid w:val="005B383A"/>
    <w:rsid w:val="005B535A"/>
    <w:rsid w:val="005B5581"/>
    <w:rsid w:val="005C3CEF"/>
    <w:rsid w:val="005D20A3"/>
    <w:rsid w:val="005D2C79"/>
    <w:rsid w:val="005D3AFC"/>
    <w:rsid w:val="005D3CE3"/>
    <w:rsid w:val="005D44D2"/>
    <w:rsid w:val="005D5F97"/>
    <w:rsid w:val="005E1E8D"/>
    <w:rsid w:val="005E2CFB"/>
    <w:rsid w:val="005F4347"/>
    <w:rsid w:val="005F4C3A"/>
    <w:rsid w:val="005F639A"/>
    <w:rsid w:val="005F7DC8"/>
    <w:rsid w:val="0060083C"/>
    <w:rsid w:val="006041F8"/>
    <w:rsid w:val="00604E8F"/>
    <w:rsid w:val="006069BC"/>
    <w:rsid w:val="006073E4"/>
    <w:rsid w:val="00611C6E"/>
    <w:rsid w:val="00616F2F"/>
    <w:rsid w:val="006177BD"/>
    <w:rsid w:val="00621198"/>
    <w:rsid w:val="00623FF7"/>
    <w:rsid w:val="006249E7"/>
    <w:rsid w:val="0062583E"/>
    <w:rsid w:val="00626EFD"/>
    <w:rsid w:val="006356CC"/>
    <w:rsid w:val="00636DD8"/>
    <w:rsid w:val="006375F9"/>
    <w:rsid w:val="00641841"/>
    <w:rsid w:val="00642C80"/>
    <w:rsid w:val="00644C41"/>
    <w:rsid w:val="0064518F"/>
    <w:rsid w:val="00655372"/>
    <w:rsid w:val="00655B72"/>
    <w:rsid w:val="00662D06"/>
    <w:rsid w:val="00663912"/>
    <w:rsid w:val="0067048B"/>
    <w:rsid w:val="00670B5B"/>
    <w:rsid w:val="00671849"/>
    <w:rsid w:val="00675120"/>
    <w:rsid w:val="0068041E"/>
    <w:rsid w:val="006869CE"/>
    <w:rsid w:val="00691B59"/>
    <w:rsid w:val="00691B61"/>
    <w:rsid w:val="006A1025"/>
    <w:rsid w:val="006A13FD"/>
    <w:rsid w:val="006A4BBC"/>
    <w:rsid w:val="006B1261"/>
    <w:rsid w:val="006B3B98"/>
    <w:rsid w:val="006B4A48"/>
    <w:rsid w:val="006B65AC"/>
    <w:rsid w:val="006B792D"/>
    <w:rsid w:val="006B7DF6"/>
    <w:rsid w:val="006C0D32"/>
    <w:rsid w:val="006C19CA"/>
    <w:rsid w:val="006C21D1"/>
    <w:rsid w:val="006C2865"/>
    <w:rsid w:val="006C3E2E"/>
    <w:rsid w:val="006C456F"/>
    <w:rsid w:val="006D0D9B"/>
    <w:rsid w:val="006D1E28"/>
    <w:rsid w:val="006D642E"/>
    <w:rsid w:val="006E0A01"/>
    <w:rsid w:val="006E59B9"/>
    <w:rsid w:val="006F03DE"/>
    <w:rsid w:val="006F0951"/>
    <w:rsid w:val="006F0DB6"/>
    <w:rsid w:val="006F145C"/>
    <w:rsid w:val="006F47A4"/>
    <w:rsid w:val="006F76F5"/>
    <w:rsid w:val="007045D9"/>
    <w:rsid w:val="0070686C"/>
    <w:rsid w:val="0071125A"/>
    <w:rsid w:val="0071188E"/>
    <w:rsid w:val="00713A1E"/>
    <w:rsid w:val="00715A58"/>
    <w:rsid w:val="00715C4C"/>
    <w:rsid w:val="00716427"/>
    <w:rsid w:val="007202E9"/>
    <w:rsid w:val="00721F17"/>
    <w:rsid w:val="007227C1"/>
    <w:rsid w:val="00722D93"/>
    <w:rsid w:val="00726933"/>
    <w:rsid w:val="00727CAA"/>
    <w:rsid w:val="00731E34"/>
    <w:rsid w:val="00732069"/>
    <w:rsid w:val="00732663"/>
    <w:rsid w:val="00734716"/>
    <w:rsid w:val="00735BC9"/>
    <w:rsid w:val="00740DFF"/>
    <w:rsid w:val="00742F35"/>
    <w:rsid w:val="00750627"/>
    <w:rsid w:val="0075763C"/>
    <w:rsid w:val="007600A0"/>
    <w:rsid w:val="00760841"/>
    <w:rsid w:val="0076403A"/>
    <w:rsid w:val="007645A5"/>
    <w:rsid w:val="00766354"/>
    <w:rsid w:val="00766624"/>
    <w:rsid w:val="00767E08"/>
    <w:rsid w:val="00767F21"/>
    <w:rsid w:val="00773060"/>
    <w:rsid w:val="00774A3D"/>
    <w:rsid w:val="00776B16"/>
    <w:rsid w:val="0078089E"/>
    <w:rsid w:val="00782A76"/>
    <w:rsid w:val="00785AFD"/>
    <w:rsid w:val="00790509"/>
    <w:rsid w:val="007917E2"/>
    <w:rsid w:val="00792E4C"/>
    <w:rsid w:val="007932DE"/>
    <w:rsid w:val="00793EE5"/>
    <w:rsid w:val="0079417C"/>
    <w:rsid w:val="00794796"/>
    <w:rsid w:val="00794915"/>
    <w:rsid w:val="00794D6A"/>
    <w:rsid w:val="00796259"/>
    <w:rsid w:val="0079674A"/>
    <w:rsid w:val="007A4358"/>
    <w:rsid w:val="007A4386"/>
    <w:rsid w:val="007A4B4A"/>
    <w:rsid w:val="007A58C0"/>
    <w:rsid w:val="007B2AB7"/>
    <w:rsid w:val="007B39A7"/>
    <w:rsid w:val="007B3F9D"/>
    <w:rsid w:val="007B66AF"/>
    <w:rsid w:val="007C1FAA"/>
    <w:rsid w:val="007D7892"/>
    <w:rsid w:val="007E5545"/>
    <w:rsid w:val="007F1152"/>
    <w:rsid w:val="007F7258"/>
    <w:rsid w:val="00800918"/>
    <w:rsid w:val="00801B76"/>
    <w:rsid w:val="0080363D"/>
    <w:rsid w:val="008069C8"/>
    <w:rsid w:val="00807E03"/>
    <w:rsid w:val="00813BE2"/>
    <w:rsid w:val="0081533D"/>
    <w:rsid w:val="0081613F"/>
    <w:rsid w:val="00816CC5"/>
    <w:rsid w:val="00824BE5"/>
    <w:rsid w:val="008259BF"/>
    <w:rsid w:val="00827460"/>
    <w:rsid w:val="00832A29"/>
    <w:rsid w:val="0083460B"/>
    <w:rsid w:val="0083488D"/>
    <w:rsid w:val="00834D2D"/>
    <w:rsid w:val="008369A9"/>
    <w:rsid w:val="008408B4"/>
    <w:rsid w:val="00842CA2"/>
    <w:rsid w:val="008438E1"/>
    <w:rsid w:val="00844A69"/>
    <w:rsid w:val="00851D70"/>
    <w:rsid w:val="008533C7"/>
    <w:rsid w:val="008536F7"/>
    <w:rsid w:val="00853E6F"/>
    <w:rsid w:val="00854646"/>
    <w:rsid w:val="0085739F"/>
    <w:rsid w:val="00860DE7"/>
    <w:rsid w:val="008622F0"/>
    <w:rsid w:val="00862506"/>
    <w:rsid w:val="00864FBF"/>
    <w:rsid w:val="00864FFC"/>
    <w:rsid w:val="00867C9E"/>
    <w:rsid w:val="00871A30"/>
    <w:rsid w:val="00871FD3"/>
    <w:rsid w:val="0087469F"/>
    <w:rsid w:val="00882443"/>
    <w:rsid w:val="008849DE"/>
    <w:rsid w:val="00886C06"/>
    <w:rsid w:val="0088774D"/>
    <w:rsid w:val="00887F53"/>
    <w:rsid w:val="008907C3"/>
    <w:rsid w:val="0089086F"/>
    <w:rsid w:val="00892E82"/>
    <w:rsid w:val="008945DA"/>
    <w:rsid w:val="00894D23"/>
    <w:rsid w:val="008A0D3C"/>
    <w:rsid w:val="008A1F5E"/>
    <w:rsid w:val="008A2ABC"/>
    <w:rsid w:val="008A2BAD"/>
    <w:rsid w:val="008A46D4"/>
    <w:rsid w:val="008A4894"/>
    <w:rsid w:val="008A5C04"/>
    <w:rsid w:val="008B0955"/>
    <w:rsid w:val="008B0B88"/>
    <w:rsid w:val="008B218F"/>
    <w:rsid w:val="008B5D61"/>
    <w:rsid w:val="008C04EB"/>
    <w:rsid w:val="008C2FE1"/>
    <w:rsid w:val="008C5233"/>
    <w:rsid w:val="008C66C3"/>
    <w:rsid w:val="008C7EE1"/>
    <w:rsid w:val="008D1592"/>
    <w:rsid w:val="008D26D8"/>
    <w:rsid w:val="008D7D63"/>
    <w:rsid w:val="008E10F0"/>
    <w:rsid w:val="008E5AFF"/>
    <w:rsid w:val="008E6FF6"/>
    <w:rsid w:val="008E77FC"/>
    <w:rsid w:val="008F0A3B"/>
    <w:rsid w:val="008F2105"/>
    <w:rsid w:val="008F2E1F"/>
    <w:rsid w:val="008F39BC"/>
    <w:rsid w:val="008F608C"/>
    <w:rsid w:val="008F6334"/>
    <w:rsid w:val="00905997"/>
    <w:rsid w:val="00906082"/>
    <w:rsid w:val="00906C44"/>
    <w:rsid w:val="00916195"/>
    <w:rsid w:val="00916C6C"/>
    <w:rsid w:val="009200CB"/>
    <w:rsid w:val="00920F85"/>
    <w:rsid w:val="0092147A"/>
    <w:rsid w:val="009217AE"/>
    <w:rsid w:val="00923107"/>
    <w:rsid w:val="0092703D"/>
    <w:rsid w:val="00927D09"/>
    <w:rsid w:val="00933D6C"/>
    <w:rsid w:val="0093541F"/>
    <w:rsid w:val="00937AB4"/>
    <w:rsid w:val="00937B1F"/>
    <w:rsid w:val="0094299C"/>
    <w:rsid w:val="009437C5"/>
    <w:rsid w:val="00950DAF"/>
    <w:rsid w:val="0095279A"/>
    <w:rsid w:val="00953F89"/>
    <w:rsid w:val="009544CA"/>
    <w:rsid w:val="009556F1"/>
    <w:rsid w:val="009626F9"/>
    <w:rsid w:val="009678DE"/>
    <w:rsid w:val="00971108"/>
    <w:rsid w:val="00971787"/>
    <w:rsid w:val="00972D35"/>
    <w:rsid w:val="0098659E"/>
    <w:rsid w:val="00990D56"/>
    <w:rsid w:val="00997DE8"/>
    <w:rsid w:val="009A250B"/>
    <w:rsid w:val="009A5C56"/>
    <w:rsid w:val="009A7B71"/>
    <w:rsid w:val="009B0E69"/>
    <w:rsid w:val="009B1BA7"/>
    <w:rsid w:val="009B5E07"/>
    <w:rsid w:val="009B6BA2"/>
    <w:rsid w:val="009C1AF3"/>
    <w:rsid w:val="009C2585"/>
    <w:rsid w:val="009C2F4B"/>
    <w:rsid w:val="009C3E89"/>
    <w:rsid w:val="009C6131"/>
    <w:rsid w:val="009D28E7"/>
    <w:rsid w:val="009D2E8A"/>
    <w:rsid w:val="009D50D8"/>
    <w:rsid w:val="009E2226"/>
    <w:rsid w:val="009F263F"/>
    <w:rsid w:val="009F35B7"/>
    <w:rsid w:val="009F4220"/>
    <w:rsid w:val="009F7F8B"/>
    <w:rsid w:val="00A027C4"/>
    <w:rsid w:val="00A0596E"/>
    <w:rsid w:val="00A07101"/>
    <w:rsid w:val="00A07EF0"/>
    <w:rsid w:val="00A11D7D"/>
    <w:rsid w:val="00A134CD"/>
    <w:rsid w:val="00A15385"/>
    <w:rsid w:val="00A222C6"/>
    <w:rsid w:val="00A22C88"/>
    <w:rsid w:val="00A23148"/>
    <w:rsid w:val="00A272E1"/>
    <w:rsid w:val="00A31CBF"/>
    <w:rsid w:val="00A36F6F"/>
    <w:rsid w:val="00A40A5D"/>
    <w:rsid w:val="00A40E80"/>
    <w:rsid w:val="00A457E7"/>
    <w:rsid w:val="00A45F9D"/>
    <w:rsid w:val="00A50EDA"/>
    <w:rsid w:val="00A51354"/>
    <w:rsid w:val="00A57656"/>
    <w:rsid w:val="00A60B64"/>
    <w:rsid w:val="00A635A7"/>
    <w:rsid w:val="00A64448"/>
    <w:rsid w:val="00A72657"/>
    <w:rsid w:val="00A73969"/>
    <w:rsid w:val="00A74E66"/>
    <w:rsid w:val="00A75651"/>
    <w:rsid w:val="00A80087"/>
    <w:rsid w:val="00A85ACA"/>
    <w:rsid w:val="00A87C1F"/>
    <w:rsid w:val="00A93E69"/>
    <w:rsid w:val="00A9438A"/>
    <w:rsid w:val="00A9583E"/>
    <w:rsid w:val="00A96B40"/>
    <w:rsid w:val="00AA2B66"/>
    <w:rsid w:val="00AA3BB5"/>
    <w:rsid w:val="00AA4446"/>
    <w:rsid w:val="00AB1492"/>
    <w:rsid w:val="00AB180C"/>
    <w:rsid w:val="00AB3C9A"/>
    <w:rsid w:val="00AB583B"/>
    <w:rsid w:val="00AC3433"/>
    <w:rsid w:val="00AC713D"/>
    <w:rsid w:val="00AC7CFD"/>
    <w:rsid w:val="00AD1694"/>
    <w:rsid w:val="00AD2DE9"/>
    <w:rsid w:val="00AD34DE"/>
    <w:rsid w:val="00AE0969"/>
    <w:rsid w:val="00AE189B"/>
    <w:rsid w:val="00AE2F01"/>
    <w:rsid w:val="00AE311F"/>
    <w:rsid w:val="00AE63AC"/>
    <w:rsid w:val="00AF0FEC"/>
    <w:rsid w:val="00AF4EEF"/>
    <w:rsid w:val="00AF65D2"/>
    <w:rsid w:val="00AF6A99"/>
    <w:rsid w:val="00B00544"/>
    <w:rsid w:val="00B020D7"/>
    <w:rsid w:val="00B028FC"/>
    <w:rsid w:val="00B034D9"/>
    <w:rsid w:val="00B0536C"/>
    <w:rsid w:val="00B062CC"/>
    <w:rsid w:val="00B07121"/>
    <w:rsid w:val="00B108BC"/>
    <w:rsid w:val="00B12ACD"/>
    <w:rsid w:val="00B13CC9"/>
    <w:rsid w:val="00B140E2"/>
    <w:rsid w:val="00B16F83"/>
    <w:rsid w:val="00B21B7D"/>
    <w:rsid w:val="00B2340E"/>
    <w:rsid w:val="00B23828"/>
    <w:rsid w:val="00B24C2F"/>
    <w:rsid w:val="00B2742C"/>
    <w:rsid w:val="00B27C8D"/>
    <w:rsid w:val="00B305FA"/>
    <w:rsid w:val="00B31195"/>
    <w:rsid w:val="00B32B77"/>
    <w:rsid w:val="00B3769A"/>
    <w:rsid w:val="00B44307"/>
    <w:rsid w:val="00B44643"/>
    <w:rsid w:val="00B45553"/>
    <w:rsid w:val="00B529C0"/>
    <w:rsid w:val="00B55634"/>
    <w:rsid w:val="00B55670"/>
    <w:rsid w:val="00B6199A"/>
    <w:rsid w:val="00B61CD8"/>
    <w:rsid w:val="00B624DE"/>
    <w:rsid w:val="00B63A0E"/>
    <w:rsid w:val="00B63FC5"/>
    <w:rsid w:val="00B65035"/>
    <w:rsid w:val="00B66FD7"/>
    <w:rsid w:val="00B73403"/>
    <w:rsid w:val="00B80FE7"/>
    <w:rsid w:val="00B842AF"/>
    <w:rsid w:val="00B8435E"/>
    <w:rsid w:val="00B85D82"/>
    <w:rsid w:val="00B87505"/>
    <w:rsid w:val="00B875FE"/>
    <w:rsid w:val="00B876FE"/>
    <w:rsid w:val="00B91A81"/>
    <w:rsid w:val="00B929A5"/>
    <w:rsid w:val="00B965F5"/>
    <w:rsid w:val="00BA0427"/>
    <w:rsid w:val="00BA0483"/>
    <w:rsid w:val="00BA052F"/>
    <w:rsid w:val="00BA2591"/>
    <w:rsid w:val="00BA6C46"/>
    <w:rsid w:val="00BB3B4B"/>
    <w:rsid w:val="00BB5261"/>
    <w:rsid w:val="00BB608C"/>
    <w:rsid w:val="00BB612C"/>
    <w:rsid w:val="00BC077C"/>
    <w:rsid w:val="00BC4085"/>
    <w:rsid w:val="00BC42A8"/>
    <w:rsid w:val="00BC5271"/>
    <w:rsid w:val="00BD2CEA"/>
    <w:rsid w:val="00BD5B44"/>
    <w:rsid w:val="00BD7A70"/>
    <w:rsid w:val="00BD7C0B"/>
    <w:rsid w:val="00BE3DD7"/>
    <w:rsid w:val="00BE46D7"/>
    <w:rsid w:val="00BE7EDE"/>
    <w:rsid w:val="00BF3DF9"/>
    <w:rsid w:val="00BF62FB"/>
    <w:rsid w:val="00BF6353"/>
    <w:rsid w:val="00BF6FAA"/>
    <w:rsid w:val="00C05DD6"/>
    <w:rsid w:val="00C05FEA"/>
    <w:rsid w:val="00C0753D"/>
    <w:rsid w:val="00C07598"/>
    <w:rsid w:val="00C10009"/>
    <w:rsid w:val="00C16468"/>
    <w:rsid w:val="00C235D5"/>
    <w:rsid w:val="00C23EA7"/>
    <w:rsid w:val="00C252DF"/>
    <w:rsid w:val="00C3069D"/>
    <w:rsid w:val="00C3189C"/>
    <w:rsid w:val="00C405ED"/>
    <w:rsid w:val="00C420E5"/>
    <w:rsid w:val="00C4215A"/>
    <w:rsid w:val="00C42B99"/>
    <w:rsid w:val="00C451D1"/>
    <w:rsid w:val="00C50540"/>
    <w:rsid w:val="00C51075"/>
    <w:rsid w:val="00C519D5"/>
    <w:rsid w:val="00C51C88"/>
    <w:rsid w:val="00C54EBC"/>
    <w:rsid w:val="00C6036C"/>
    <w:rsid w:val="00C633B5"/>
    <w:rsid w:val="00C64494"/>
    <w:rsid w:val="00C66D7F"/>
    <w:rsid w:val="00C672CB"/>
    <w:rsid w:val="00C73851"/>
    <w:rsid w:val="00C75ECD"/>
    <w:rsid w:val="00C7705A"/>
    <w:rsid w:val="00C7766E"/>
    <w:rsid w:val="00C81FED"/>
    <w:rsid w:val="00C82FCC"/>
    <w:rsid w:val="00C835E3"/>
    <w:rsid w:val="00C840A4"/>
    <w:rsid w:val="00C84A39"/>
    <w:rsid w:val="00C85FFC"/>
    <w:rsid w:val="00C907AB"/>
    <w:rsid w:val="00C91601"/>
    <w:rsid w:val="00C92531"/>
    <w:rsid w:val="00C934D0"/>
    <w:rsid w:val="00CA7D54"/>
    <w:rsid w:val="00CB0B3E"/>
    <w:rsid w:val="00CB2872"/>
    <w:rsid w:val="00CB36F8"/>
    <w:rsid w:val="00CB495C"/>
    <w:rsid w:val="00CC46F6"/>
    <w:rsid w:val="00CC4862"/>
    <w:rsid w:val="00CC5C19"/>
    <w:rsid w:val="00CC64B6"/>
    <w:rsid w:val="00CD1E54"/>
    <w:rsid w:val="00CD5754"/>
    <w:rsid w:val="00CD6DA6"/>
    <w:rsid w:val="00CD7300"/>
    <w:rsid w:val="00CE1FA9"/>
    <w:rsid w:val="00CE4737"/>
    <w:rsid w:val="00CE778A"/>
    <w:rsid w:val="00CF00B1"/>
    <w:rsid w:val="00CF1695"/>
    <w:rsid w:val="00CF28D0"/>
    <w:rsid w:val="00CF2AAF"/>
    <w:rsid w:val="00CF3338"/>
    <w:rsid w:val="00D00DF2"/>
    <w:rsid w:val="00D04533"/>
    <w:rsid w:val="00D0540A"/>
    <w:rsid w:val="00D05A4B"/>
    <w:rsid w:val="00D0635C"/>
    <w:rsid w:val="00D123D5"/>
    <w:rsid w:val="00D13E6B"/>
    <w:rsid w:val="00D14D25"/>
    <w:rsid w:val="00D2058A"/>
    <w:rsid w:val="00D21B39"/>
    <w:rsid w:val="00D21FFB"/>
    <w:rsid w:val="00D30855"/>
    <w:rsid w:val="00D32691"/>
    <w:rsid w:val="00D33922"/>
    <w:rsid w:val="00D3756A"/>
    <w:rsid w:val="00D377C5"/>
    <w:rsid w:val="00D37843"/>
    <w:rsid w:val="00D37CB9"/>
    <w:rsid w:val="00D40224"/>
    <w:rsid w:val="00D41E91"/>
    <w:rsid w:val="00D43CE0"/>
    <w:rsid w:val="00D44BB8"/>
    <w:rsid w:val="00D45089"/>
    <w:rsid w:val="00D45651"/>
    <w:rsid w:val="00D50E18"/>
    <w:rsid w:val="00D51A00"/>
    <w:rsid w:val="00D54077"/>
    <w:rsid w:val="00D555BD"/>
    <w:rsid w:val="00D5601A"/>
    <w:rsid w:val="00D6282F"/>
    <w:rsid w:val="00D62C34"/>
    <w:rsid w:val="00D62CF2"/>
    <w:rsid w:val="00D62ECD"/>
    <w:rsid w:val="00D63453"/>
    <w:rsid w:val="00D65B99"/>
    <w:rsid w:val="00D65C66"/>
    <w:rsid w:val="00D75103"/>
    <w:rsid w:val="00D7555C"/>
    <w:rsid w:val="00D76B70"/>
    <w:rsid w:val="00D771CA"/>
    <w:rsid w:val="00D80362"/>
    <w:rsid w:val="00D80549"/>
    <w:rsid w:val="00D87F1A"/>
    <w:rsid w:val="00D93777"/>
    <w:rsid w:val="00D94AA1"/>
    <w:rsid w:val="00DA0726"/>
    <w:rsid w:val="00DA1288"/>
    <w:rsid w:val="00DA4400"/>
    <w:rsid w:val="00DA5245"/>
    <w:rsid w:val="00DA5684"/>
    <w:rsid w:val="00DB0CD1"/>
    <w:rsid w:val="00DB2C66"/>
    <w:rsid w:val="00DB31CA"/>
    <w:rsid w:val="00DC0982"/>
    <w:rsid w:val="00DC3A84"/>
    <w:rsid w:val="00DC3C89"/>
    <w:rsid w:val="00DC4377"/>
    <w:rsid w:val="00DD0DCF"/>
    <w:rsid w:val="00DE3D50"/>
    <w:rsid w:val="00DE4C0A"/>
    <w:rsid w:val="00DF1672"/>
    <w:rsid w:val="00DF1F6A"/>
    <w:rsid w:val="00DF3AB8"/>
    <w:rsid w:val="00DF44DA"/>
    <w:rsid w:val="00DF625A"/>
    <w:rsid w:val="00DF7E2C"/>
    <w:rsid w:val="00E00CFC"/>
    <w:rsid w:val="00E0601E"/>
    <w:rsid w:val="00E13504"/>
    <w:rsid w:val="00E15B4B"/>
    <w:rsid w:val="00E21F47"/>
    <w:rsid w:val="00E226E5"/>
    <w:rsid w:val="00E23311"/>
    <w:rsid w:val="00E23E99"/>
    <w:rsid w:val="00E324CF"/>
    <w:rsid w:val="00E32CB8"/>
    <w:rsid w:val="00E34AE0"/>
    <w:rsid w:val="00E408A1"/>
    <w:rsid w:val="00E40D12"/>
    <w:rsid w:val="00E436CE"/>
    <w:rsid w:val="00E44C17"/>
    <w:rsid w:val="00E5015C"/>
    <w:rsid w:val="00E51008"/>
    <w:rsid w:val="00E57949"/>
    <w:rsid w:val="00E62227"/>
    <w:rsid w:val="00E63D6D"/>
    <w:rsid w:val="00E65A13"/>
    <w:rsid w:val="00E66670"/>
    <w:rsid w:val="00E670D8"/>
    <w:rsid w:val="00E70C67"/>
    <w:rsid w:val="00E73722"/>
    <w:rsid w:val="00E75021"/>
    <w:rsid w:val="00E75261"/>
    <w:rsid w:val="00E75AE1"/>
    <w:rsid w:val="00E831E4"/>
    <w:rsid w:val="00E8439B"/>
    <w:rsid w:val="00E85AF0"/>
    <w:rsid w:val="00E938F3"/>
    <w:rsid w:val="00E94FB0"/>
    <w:rsid w:val="00E97797"/>
    <w:rsid w:val="00EA0A82"/>
    <w:rsid w:val="00EA0D5E"/>
    <w:rsid w:val="00EA4BB6"/>
    <w:rsid w:val="00EA4D7A"/>
    <w:rsid w:val="00EA63DC"/>
    <w:rsid w:val="00EA6F22"/>
    <w:rsid w:val="00EA79BD"/>
    <w:rsid w:val="00EB1B27"/>
    <w:rsid w:val="00EB4598"/>
    <w:rsid w:val="00EB5B74"/>
    <w:rsid w:val="00EB7BD0"/>
    <w:rsid w:val="00EC3EDE"/>
    <w:rsid w:val="00ED0F65"/>
    <w:rsid w:val="00EE0C14"/>
    <w:rsid w:val="00EE1262"/>
    <w:rsid w:val="00EE2DA0"/>
    <w:rsid w:val="00EE4BFD"/>
    <w:rsid w:val="00EE6DA2"/>
    <w:rsid w:val="00EF1D2D"/>
    <w:rsid w:val="00EF579B"/>
    <w:rsid w:val="00EF5993"/>
    <w:rsid w:val="00EF77AD"/>
    <w:rsid w:val="00F017D0"/>
    <w:rsid w:val="00F0683F"/>
    <w:rsid w:val="00F06996"/>
    <w:rsid w:val="00F17603"/>
    <w:rsid w:val="00F17866"/>
    <w:rsid w:val="00F202DB"/>
    <w:rsid w:val="00F20AE8"/>
    <w:rsid w:val="00F22297"/>
    <w:rsid w:val="00F332CA"/>
    <w:rsid w:val="00F33FFC"/>
    <w:rsid w:val="00F35F75"/>
    <w:rsid w:val="00F3611C"/>
    <w:rsid w:val="00F36645"/>
    <w:rsid w:val="00F408CD"/>
    <w:rsid w:val="00F428A4"/>
    <w:rsid w:val="00F452A7"/>
    <w:rsid w:val="00F45D13"/>
    <w:rsid w:val="00F5380A"/>
    <w:rsid w:val="00F53B26"/>
    <w:rsid w:val="00F5518A"/>
    <w:rsid w:val="00F555AC"/>
    <w:rsid w:val="00F55F06"/>
    <w:rsid w:val="00F618FE"/>
    <w:rsid w:val="00F62792"/>
    <w:rsid w:val="00F63570"/>
    <w:rsid w:val="00F65C3D"/>
    <w:rsid w:val="00F7038C"/>
    <w:rsid w:val="00F77358"/>
    <w:rsid w:val="00F77C8C"/>
    <w:rsid w:val="00F81BC2"/>
    <w:rsid w:val="00F82A6B"/>
    <w:rsid w:val="00F834CE"/>
    <w:rsid w:val="00F838AF"/>
    <w:rsid w:val="00F852B4"/>
    <w:rsid w:val="00F96A61"/>
    <w:rsid w:val="00F9769F"/>
    <w:rsid w:val="00F97DD2"/>
    <w:rsid w:val="00FA2019"/>
    <w:rsid w:val="00FA31DF"/>
    <w:rsid w:val="00FA3F3C"/>
    <w:rsid w:val="00FA4177"/>
    <w:rsid w:val="00FB4EE3"/>
    <w:rsid w:val="00FB63A8"/>
    <w:rsid w:val="00FC109A"/>
    <w:rsid w:val="00FC47CD"/>
    <w:rsid w:val="00FD207F"/>
    <w:rsid w:val="00FD32A8"/>
    <w:rsid w:val="00FD536D"/>
    <w:rsid w:val="00FD6AB3"/>
    <w:rsid w:val="00FD796C"/>
    <w:rsid w:val="00FE20BE"/>
    <w:rsid w:val="00FE3726"/>
    <w:rsid w:val="00FE3D7E"/>
    <w:rsid w:val="00FE6D0B"/>
    <w:rsid w:val="00FF4B40"/>
    <w:rsid w:val="00FF4F8D"/>
    <w:rsid w:val="00FF6146"/>
    <w:rsid w:val="00FF7E7A"/>
    <w:rsid w:val="11D10386"/>
    <w:rsid w:val="23E41D3C"/>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nhideWhenUsed="0" w:uiPriority="99" w:semiHidden="0" w:name="heading 4"/>
    <w:lsdException w:qFormat="1" w:uiPriority="0" w:name="heading 5" w:locked="1"/>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name="Body Text Indent 3"/>
    <w:lsdException w:uiPriority="99" w:name="Block Text"/>
    <w:lsdException w:unhideWhenUsed="0" w:uiPriority="99" w:semiHidden="0" w:name="Hyperlink"/>
    <w:lsdException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2"/>
    <w:qFormat/>
    <w:uiPriority w:val="99"/>
    <w:pPr>
      <w:widowControl/>
      <w:spacing w:before="100" w:beforeAutospacing="1" w:after="100" w:afterAutospacing="1"/>
      <w:jc w:val="left"/>
      <w:outlineLvl w:val="0"/>
    </w:pPr>
    <w:rPr>
      <w:b/>
      <w:bCs/>
      <w:kern w:val="44"/>
      <w:sz w:val="44"/>
      <w:szCs w:val="44"/>
    </w:rPr>
  </w:style>
  <w:style w:type="paragraph" w:styleId="3">
    <w:name w:val="heading 3"/>
    <w:basedOn w:val="1"/>
    <w:next w:val="1"/>
    <w:link w:val="23"/>
    <w:qFormat/>
    <w:uiPriority w:val="99"/>
    <w:pPr>
      <w:keepNext/>
      <w:keepLines/>
      <w:spacing w:before="260" w:after="260" w:line="416" w:lineRule="auto"/>
      <w:outlineLvl w:val="2"/>
    </w:pPr>
    <w:rPr>
      <w:b/>
      <w:bCs/>
      <w:kern w:val="0"/>
      <w:sz w:val="32"/>
      <w:szCs w:val="32"/>
    </w:rPr>
  </w:style>
  <w:style w:type="paragraph" w:styleId="4">
    <w:name w:val="heading 4"/>
    <w:basedOn w:val="1"/>
    <w:next w:val="1"/>
    <w:link w:val="24"/>
    <w:qFormat/>
    <w:uiPriority w:val="99"/>
    <w:pPr>
      <w:widowControl/>
      <w:spacing w:before="100" w:beforeAutospacing="1" w:after="100" w:afterAutospacing="1"/>
      <w:jc w:val="left"/>
      <w:outlineLvl w:val="3"/>
    </w:pPr>
    <w:rPr>
      <w:rFonts w:ascii="Cambria" w:hAnsi="Cambria"/>
      <w:b/>
      <w:bCs/>
      <w:kern w:val="0"/>
      <w:sz w:val="28"/>
      <w:szCs w:val="28"/>
    </w:rPr>
  </w:style>
  <w:style w:type="paragraph" w:styleId="5">
    <w:name w:val="heading 6"/>
    <w:basedOn w:val="1"/>
    <w:next w:val="1"/>
    <w:link w:val="25"/>
    <w:qFormat/>
    <w:uiPriority w:val="99"/>
    <w:pPr>
      <w:keepNext/>
      <w:keepLines/>
      <w:spacing w:before="240" w:after="64" w:line="320" w:lineRule="auto"/>
      <w:outlineLvl w:val="5"/>
    </w:pPr>
    <w:rPr>
      <w:rFonts w:ascii="Cambria" w:hAnsi="Cambria"/>
      <w:b/>
      <w:bCs/>
      <w:kern w:val="0"/>
      <w:sz w:val="24"/>
      <w:szCs w:val="24"/>
    </w:rPr>
  </w:style>
  <w:style w:type="character" w:default="1" w:styleId="15">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31"/>
    <w:semiHidden/>
    <w:qFormat/>
    <w:uiPriority w:val="99"/>
    <w:rPr>
      <w:b/>
      <w:bCs/>
    </w:rPr>
  </w:style>
  <w:style w:type="paragraph" w:styleId="7">
    <w:name w:val="annotation text"/>
    <w:basedOn w:val="1"/>
    <w:link w:val="30"/>
    <w:semiHidden/>
    <w:qFormat/>
    <w:uiPriority w:val="99"/>
    <w:pPr>
      <w:jc w:val="left"/>
    </w:pPr>
    <w:rPr>
      <w:kern w:val="0"/>
      <w:sz w:val="20"/>
    </w:rPr>
  </w:style>
  <w:style w:type="paragraph" w:styleId="8">
    <w:name w:val="Body Text Indent"/>
    <w:basedOn w:val="1"/>
    <w:link w:val="35"/>
    <w:semiHidden/>
    <w:qFormat/>
    <w:uiPriority w:val="99"/>
    <w:pPr>
      <w:spacing w:after="120"/>
      <w:ind w:left="420" w:leftChars="200"/>
    </w:pPr>
  </w:style>
  <w:style w:type="paragraph" w:styleId="9">
    <w:name w:val="Plain Text"/>
    <w:basedOn w:val="1"/>
    <w:link w:val="26"/>
    <w:qFormat/>
    <w:uiPriority w:val="99"/>
    <w:rPr>
      <w:rFonts w:ascii="宋体" w:hAnsi="Courier New"/>
      <w:kern w:val="0"/>
    </w:rPr>
  </w:style>
  <w:style w:type="paragraph" w:styleId="10">
    <w:name w:val="Balloon Text"/>
    <w:basedOn w:val="1"/>
    <w:link w:val="29"/>
    <w:semiHidden/>
    <w:qFormat/>
    <w:uiPriority w:val="99"/>
    <w:rPr>
      <w:rFonts w:ascii="Tahoma" w:hAnsi="Tahoma"/>
      <w:sz w:val="16"/>
      <w:szCs w:val="16"/>
    </w:rPr>
  </w:style>
  <w:style w:type="paragraph" w:styleId="11">
    <w:name w:val="footer"/>
    <w:basedOn w:val="1"/>
    <w:link w:val="28"/>
    <w:uiPriority w:val="99"/>
    <w:pPr>
      <w:tabs>
        <w:tab w:val="center" w:pos="4153"/>
        <w:tab w:val="right" w:pos="8306"/>
      </w:tabs>
      <w:snapToGrid w:val="0"/>
      <w:jc w:val="left"/>
    </w:pPr>
    <w:rPr>
      <w:kern w:val="0"/>
      <w:sz w:val="18"/>
      <w:szCs w:val="18"/>
    </w:rPr>
  </w:style>
  <w:style w:type="paragraph" w:styleId="12">
    <w:name w:val="header"/>
    <w:basedOn w:val="1"/>
    <w:link w:val="27"/>
    <w:uiPriority w:val="99"/>
    <w:pPr>
      <w:pBdr>
        <w:bottom w:val="single" w:color="auto" w:sz="6" w:space="1"/>
      </w:pBdr>
      <w:tabs>
        <w:tab w:val="center" w:pos="4153"/>
        <w:tab w:val="right" w:pos="8306"/>
      </w:tabs>
      <w:snapToGrid w:val="0"/>
      <w:jc w:val="center"/>
    </w:pPr>
    <w:rPr>
      <w:kern w:val="0"/>
      <w:sz w:val="18"/>
      <w:szCs w:val="18"/>
    </w:rPr>
  </w:style>
  <w:style w:type="paragraph" w:styleId="13">
    <w:name w:val="Body Text Indent 3"/>
    <w:basedOn w:val="1"/>
    <w:link w:val="33"/>
    <w:semiHidden/>
    <w:qFormat/>
    <w:uiPriority w:val="99"/>
    <w:pPr>
      <w:spacing w:line="360" w:lineRule="exact"/>
      <w:ind w:firstLine="420" w:firstLineChars="175"/>
    </w:pPr>
    <w:rPr>
      <w:rFonts w:ascii="宋体" w:hAnsi="宋体"/>
      <w:sz w:val="24"/>
      <w:szCs w:val="24"/>
    </w:rPr>
  </w:style>
  <w:style w:type="paragraph" w:styleId="14">
    <w:name w:val="Normal (Web)"/>
    <w:basedOn w:val="1"/>
    <w:qFormat/>
    <w:uiPriority w:val="99"/>
    <w:pPr>
      <w:widowControl/>
      <w:spacing w:before="100" w:beforeAutospacing="1" w:after="100" w:afterAutospacing="1"/>
      <w:jc w:val="left"/>
    </w:pPr>
    <w:rPr>
      <w:rFonts w:ascii="??" w:hAnsi="??" w:cs="??"/>
      <w:kern w:val="0"/>
      <w:sz w:val="18"/>
      <w:szCs w:val="18"/>
    </w:rPr>
  </w:style>
  <w:style w:type="character" w:styleId="16">
    <w:name w:val="Strong"/>
    <w:basedOn w:val="15"/>
    <w:qFormat/>
    <w:uiPriority w:val="99"/>
    <w:rPr>
      <w:rFonts w:cs="Times New Roman"/>
      <w:b/>
    </w:rPr>
  </w:style>
  <w:style w:type="character" w:styleId="17">
    <w:name w:val="FollowedHyperlink"/>
    <w:basedOn w:val="15"/>
    <w:unhideWhenUsed/>
    <w:uiPriority w:val="99"/>
    <w:rPr>
      <w:color w:val="800080"/>
      <w:u w:val="single"/>
    </w:rPr>
  </w:style>
  <w:style w:type="character" w:styleId="18">
    <w:name w:val="Hyperlink"/>
    <w:basedOn w:val="15"/>
    <w:uiPriority w:val="99"/>
    <w:rPr>
      <w:rFonts w:cs="Times New Roman"/>
      <w:color w:val="000000"/>
      <w:u w:val="none"/>
    </w:rPr>
  </w:style>
  <w:style w:type="character" w:styleId="19">
    <w:name w:val="annotation reference"/>
    <w:basedOn w:val="15"/>
    <w:semiHidden/>
    <w:qFormat/>
    <w:uiPriority w:val="99"/>
    <w:rPr>
      <w:rFonts w:cs="Times New Roman"/>
      <w:sz w:val="21"/>
    </w:rPr>
  </w:style>
  <w:style w:type="table" w:styleId="21">
    <w:name w:val="Table Grid"/>
    <w:basedOn w:val="2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标题 1 Char"/>
    <w:basedOn w:val="15"/>
    <w:link w:val="2"/>
    <w:qFormat/>
    <w:locked/>
    <w:uiPriority w:val="99"/>
    <w:rPr>
      <w:b/>
      <w:kern w:val="44"/>
      <w:sz w:val="44"/>
    </w:rPr>
  </w:style>
  <w:style w:type="character" w:customStyle="1" w:styleId="23">
    <w:name w:val="标题 3 Char"/>
    <w:basedOn w:val="15"/>
    <w:link w:val="3"/>
    <w:semiHidden/>
    <w:locked/>
    <w:uiPriority w:val="99"/>
    <w:rPr>
      <w:b/>
      <w:sz w:val="32"/>
    </w:rPr>
  </w:style>
  <w:style w:type="character" w:customStyle="1" w:styleId="24">
    <w:name w:val="标题 4 Char"/>
    <w:basedOn w:val="15"/>
    <w:link w:val="4"/>
    <w:semiHidden/>
    <w:locked/>
    <w:uiPriority w:val="99"/>
    <w:rPr>
      <w:rFonts w:ascii="Cambria" w:hAnsi="Cambria" w:eastAsia="宋体"/>
      <w:b/>
      <w:sz w:val="28"/>
    </w:rPr>
  </w:style>
  <w:style w:type="character" w:customStyle="1" w:styleId="25">
    <w:name w:val="标题 6 Char"/>
    <w:basedOn w:val="15"/>
    <w:link w:val="5"/>
    <w:semiHidden/>
    <w:qFormat/>
    <w:locked/>
    <w:uiPriority w:val="99"/>
    <w:rPr>
      <w:rFonts w:ascii="Cambria" w:hAnsi="Cambria" w:eastAsia="宋体"/>
      <w:b/>
      <w:sz w:val="24"/>
    </w:rPr>
  </w:style>
  <w:style w:type="character" w:customStyle="1" w:styleId="26">
    <w:name w:val="纯文本 Char"/>
    <w:basedOn w:val="15"/>
    <w:link w:val="9"/>
    <w:qFormat/>
    <w:locked/>
    <w:uiPriority w:val="99"/>
    <w:rPr>
      <w:rFonts w:ascii="宋体" w:hAnsi="Courier New"/>
      <w:sz w:val="21"/>
    </w:rPr>
  </w:style>
  <w:style w:type="character" w:customStyle="1" w:styleId="27">
    <w:name w:val="页眉 Char"/>
    <w:basedOn w:val="15"/>
    <w:link w:val="12"/>
    <w:semiHidden/>
    <w:qFormat/>
    <w:locked/>
    <w:uiPriority w:val="99"/>
    <w:rPr>
      <w:sz w:val="18"/>
    </w:rPr>
  </w:style>
  <w:style w:type="character" w:customStyle="1" w:styleId="28">
    <w:name w:val="页脚 Char"/>
    <w:basedOn w:val="15"/>
    <w:link w:val="11"/>
    <w:qFormat/>
    <w:locked/>
    <w:uiPriority w:val="99"/>
    <w:rPr>
      <w:sz w:val="18"/>
    </w:rPr>
  </w:style>
  <w:style w:type="character" w:customStyle="1" w:styleId="29">
    <w:name w:val="批注框文本 Char"/>
    <w:basedOn w:val="15"/>
    <w:link w:val="10"/>
    <w:qFormat/>
    <w:locked/>
    <w:uiPriority w:val="99"/>
    <w:rPr>
      <w:rFonts w:ascii="Tahoma" w:hAnsi="Tahoma"/>
      <w:kern w:val="2"/>
      <w:sz w:val="16"/>
    </w:rPr>
  </w:style>
  <w:style w:type="character" w:customStyle="1" w:styleId="30">
    <w:name w:val="批注文字 Char"/>
    <w:basedOn w:val="15"/>
    <w:link w:val="7"/>
    <w:semiHidden/>
    <w:locked/>
    <w:uiPriority w:val="99"/>
    <w:rPr>
      <w:sz w:val="21"/>
    </w:rPr>
  </w:style>
  <w:style w:type="character" w:customStyle="1" w:styleId="31">
    <w:name w:val="批注主题 Char"/>
    <w:basedOn w:val="30"/>
    <w:link w:val="6"/>
    <w:semiHidden/>
    <w:qFormat/>
    <w:locked/>
    <w:uiPriority w:val="99"/>
    <w:rPr>
      <w:b/>
    </w:rPr>
  </w:style>
  <w:style w:type="character" w:customStyle="1" w:styleId="32">
    <w:name w:val="访问过的超链接1"/>
    <w:qFormat/>
    <w:uiPriority w:val="99"/>
    <w:rPr>
      <w:color w:val="800080"/>
      <w:u w:val="single"/>
    </w:rPr>
  </w:style>
  <w:style w:type="character" w:customStyle="1" w:styleId="33">
    <w:name w:val="正文文本缩进 3 Char"/>
    <w:basedOn w:val="15"/>
    <w:link w:val="13"/>
    <w:semiHidden/>
    <w:locked/>
    <w:uiPriority w:val="99"/>
    <w:rPr>
      <w:rFonts w:ascii="宋体" w:eastAsia="宋体"/>
      <w:kern w:val="2"/>
      <w:sz w:val="24"/>
    </w:rPr>
  </w:style>
  <w:style w:type="paragraph" w:customStyle="1" w:styleId="34">
    <w:name w:val="Default"/>
    <w:basedOn w:val="1"/>
    <w:uiPriority w:val="99"/>
    <w:pPr>
      <w:widowControl/>
      <w:autoSpaceDE w:val="0"/>
      <w:autoSpaceDN w:val="0"/>
      <w:jc w:val="left"/>
    </w:pPr>
    <w:rPr>
      <w:color w:val="000000"/>
      <w:kern w:val="0"/>
      <w:sz w:val="24"/>
      <w:szCs w:val="24"/>
    </w:rPr>
  </w:style>
  <w:style w:type="character" w:customStyle="1" w:styleId="35">
    <w:name w:val="正文文本缩进 Char"/>
    <w:basedOn w:val="15"/>
    <w:link w:val="8"/>
    <w:semiHidden/>
    <w:locked/>
    <w:uiPriority w:val="99"/>
    <w:rPr>
      <w:kern w:val="2"/>
      <w:sz w:val="21"/>
    </w:rPr>
  </w:style>
  <w:style w:type="paragraph" w:customStyle="1" w:styleId="36">
    <w:name w:val="无间隔1"/>
    <w:uiPriority w:val="99"/>
    <w:rPr>
      <w:rFonts w:ascii="Calibri" w:hAnsi="Calibri" w:eastAsia="宋体" w:cs="Times New Roman"/>
      <w:sz w:val="22"/>
      <w:szCs w:val="22"/>
      <w:lang w:val="en-US" w:eastAsia="ja-JP" w:bidi="ar-SA"/>
    </w:rPr>
  </w:style>
  <w:style w:type="character" w:customStyle="1" w:styleId="37">
    <w:name w:val="apple-style-span"/>
    <w:basedOn w:val="15"/>
    <w:uiPriority w:val="99"/>
    <w:rPr>
      <w:rFonts w:cs="Times New Roman"/>
    </w:rPr>
  </w:style>
  <w:style w:type="character" w:customStyle="1" w:styleId="38">
    <w:name w:val="apple-converted-space"/>
    <w:basedOn w:val="15"/>
    <w:uiPriority w:val="99"/>
    <w:rPr>
      <w:rFonts w:cs="Times New Roman"/>
    </w:rPr>
  </w:style>
  <w:style w:type="paragraph" w:customStyle="1" w:styleId="3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diagramColors" Target="diagrams/colors2.xml"/><Relationship Id="rId21" Type="http://schemas.openxmlformats.org/officeDocument/2006/relationships/diagramQuickStyle" Target="diagrams/quickStyle2.xml"/><Relationship Id="rId20" Type="http://schemas.openxmlformats.org/officeDocument/2006/relationships/diagramLayout" Target="diagrams/layout2.xml"/><Relationship Id="rId2" Type="http://schemas.openxmlformats.org/officeDocument/2006/relationships/settings" Target="settings.xml"/><Relationship Id="rId19" Type="http://schemas.openxmlformats.org/officeDocument/2006/relationships/diagramData" Target="diagrams/data2.xml"/><Relationship Id="rId18" Type="http://schemas.microsoft.com/office/2007/relationships/diagramDrawing" Target="diagrams/drawing2.xml"/><Relationship Id="rId17" Type="http://schemas.openxmlformats.org/officeDocument/2006/relationships/chart" Target="charts/chart4.xml"/><Relationship Id="rId16" Type="http://schemas.openxmlformats.org/officeDocument/2006/relationships/chart" Target="charts/chart3.xml"/><Relationship Id="rId15" Type="http://schemas.openxmlformats.org/officeDocument/2006/relationships/diagramColors" Target="diagrams/colors1.xml"/><Relationship Id="rId14" Type="http://schemas.openxmlformats.org/officeDocument/2006/relationships/diagramQuickStyle" Target="diagrams/quickStyle1.xml"/><Relationship Id="rId13" Type="http://schemas.openxmlformats.org/officeDocument/2006/relationships/diagramLayout" Target="diagrams/layout1.xml"/><Relationship Id="rId12" Type="http://schemas.openxmlformats.org/officeDocument/2006/relationships/diagramData" Target="diagrams/data1.xml"/><Relationship Id="rId11" Type="http://schemas.microsoft.com/office/2007/relationships/diagramDrawing" Target="diagrams/drawing1.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2015-2016 IMPA\IMPA\&#25307;&#29983;\IMPA&#32844;&#19994;&#32972;&#26223;&#25968;&#25454;&#24635;&#2771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2015-2016 IMPA\IMPA\&#22269;&#23478;&#21644;&#22269;&#21035;&#32479;&#35745;&#20449;&#24687;\IMPA&#22269;&#23478;&#21644;&#23398;&#29983;&#20154;&#25968;&#32479;&#3574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2015-2016 IMPA\IMPA\&#25307;&#29983;\IMPA&#32844;&#19994;&#32972;&#26223;&#25968;&#25454;&#24635;&#2771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2015-2016 IMPA\IMPA\&#22269;&#23478;&#21644;&#22269;&#21035;&#32479;&#35745;&#20449;&#24687;\IMPA&#22269;&#23478;&#21644;&#23398;&#29983;&#20154;&#25968;&#32479;&#3574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200" b="1">
                <a:solidFill>
                  <a:schemeClr val="tx1"/>
                </a:solidFill>
                <a:latin typeface="+mn-ea"/>
                <a:ea typeface="+mn-ea"/>
              </a:defRPr>
            </a:pPr>
            <a:r>
              <a:rPr lang="en-US" altLang="zh-CN" sz="1200" b="1" i="0" baseline="0">
                <a:latin typeface="+mn-ea"/>
                <a:ea typeface="+mn-ea"/>
              </a:rPr>
              <a:t>IMPA </a:t>
            </a:r>
            <a:r>
              <a:rPr lang="zh-CN" altLang="zh-CN" sz="1200" b="1" i="0" baseline="0">
                <a:latin typeface="+mn-ea"/>
                <a:ea typeface="+mn-ea"/>
              </a:rPr>
              <a:t>学生职业背景（截止到</a:t>
            </a:r>
            <a:r>
              <a:rPr lang="en-US" altLang="zh-CN" sz="1200" b="1" i="0" baseline="0">
                <a:latin typeface="+mn-ea"/>
                <a:ea typeface="+mn-ea"/>
              </a:rPr>
              <a:t>2015</a:t>
            </a:r>
            <a:r>
              <a:rPr lang="zh-CN" altLang="zh-CN" sz="1200" b="1" i="0" baseline="0">
                <a:latin typeface="+mn-ea"/>
                <a:ea typeface="+mn-ea"/>
              </a:rPr>
              <a:t>年</a:t>
            </a:r>
            <a:r>
              <a:rPr lang="en-US" altLang="zh-CN" sz="1200" b="1" i="0" baseline="0">
                <a:latin typeface="+mn-ea"/>
                <a:ea typeface="+mn-ea"/>
              </a:rPr>
              <a:t>4</a:t>
            </a:r>
            <a:r>
              <a:rPr lang="zh-CN" altLang="zh-CN" sz="1200" b="1" i="0" baseline="0">
                <a:latin typeface="+mn-ea"/>
                <a:ea typeface="+mn-ea"/>
              </a:rPr>
              <a:t>月）</a:t>
            </a:r>
            <a:endParaRPr lang="zh-CN" altLang="zh-CN" sz="1200" b="1" i="0" baseline="0">
              <a:latin typeface="+mn-ea"/>
              <a:ea typeface="+mn-ea"/>
            </a:endParaRPr>
          </a:p>
        </c:rich>
      </c:tx>
      <c:layout/>
      <c:overlay val="0"/>
      <c:spPr>
        <a:noFill/>
        <a:ln>
          <a:noFill/>
        </a:ln>
        <a:effectLst/>
      </c:spPr>
    </c:title>
    <c:autoTitleDeleted val="0"/>
    <c:plotArea>
      <c:layout>
        <c:manualLayout>
          <c:layoutTarget val="inner"/>
          <c:xMode val="edge"/>
          <c:yMode val="edge"/>
          <c:x val="0.0830441400304416"/>
          <c:y val="0.310650553908528"/>
          <c:w val="0.514600701136134"/>
          <c:h val="0.54367790564641"/>
        </c:manualLayout>
      </c:layout>
      <c:pieChart>
        <c:varyColors val="1"/>
        <c:ser>
          <c:idx val="0"/>
          <c:order val="0"/>
          <c:spPr>
            <a:effectLst/>
          </c:spPr>
          <c:dPt>
            <c:idx val="0"/>
            <c:bubble3D val="0"/>
            <c:explosion val="2"/>
            <c:spPr>
              <a:solidFill>
                <a:schemeClr val="accent1">
                  <a:shade val="76667"/>
                </a:schemeClr>
              </a:solidFill>
              <a:ln>
                <a:noFill/>
              </a:ln>
              <a:effectLst/>
            </c:spPr>
          </c:dPt>
          <c:dPt>
            <c:idx val="1"/>
            <c:bubble3D val="0"/>
            <c:explosion val="4"/>
            <c:spPr>
              <a:solidFill>
                <a:schemeClr val="accent2">
                  <a:shade val="76667"/>
                </a:schemeClr>
              </a:solidFill>
              <a:ln>
                <a:noFill/>
              </a:ln>
              <a:effectLst/>
            </c:spPr>
          </c:dPt>
          <c:dPt>
            <c:idx val="2"/>
            <c:bubble3D val="0"/>
            <c:explosion val="5"/>
            <c:spPr>
              <a:solidFill>
                <a:schemeClr val="accent3">
                  <a:shade val="76667"/>
                </a:schemeClr>
              </a:solidFill>
              <a:ln>
                <a:noFill/>
              </a:ln>
              <a:effectLst/>
            </c:spPr>
          </c:dPt>
          <c:dPt>
            <c:idx val="3"/>
            <c:bubble3D val="0"/>
            <c:explosion val="6"/>
            <c:spPr>
              <a:solidFill>
                <a:schemeClr val="accent4">
                  <a:shade val="76667"/>
                </a:schemeClr>
              </a:solidFill>
              <a:ln>
                <a:noFill/>
              </a:ln>
              <a:effectLst/>
            </c:spPr>
          </c:dPt>
          <c:dPt>
            <c:idx val="4"/>
            <c:bubble3D val="0"/>
            <c:explosion val="4"/>
            <c:spPr>
              <a:solidFill>
                <a:schemeClr val="accent5">
                  <a:shade val="76667"/>
                </a:schemeClr>
              </a:solidFill>
              <a:ln>
                <a:noFill/>
              </a:ln>
              <a:effectLst/>
            </c:spPr>
          </c:dPt>
          <c:dPt>
            <c:idx val="5"/>
            <c:bubble3D val="0"/>
            <c:spPr>
              <a:solidFill>
                <a:schemeClr val="accent6">
                  <a:shade val="76667"/>
                </a:schemeClr>
              </a:solidFill>
              <a:ln>
                <a:noFill/>
              </a:ln>
              <a:effectLst/>
            </c:spPr>
          </c:dPt>
          <c:dPt>
            <c:idx val="6"/>
            <c:bubble3D val="0"/>
            <c:spPr>
              <a:solidFill>
                <a:schemeClr val="accent1">
                  <a:tint val="76667"/>
                </a:schemeClr>
              </a:solidFill>
              <a:ln>
                <a:noFill/>
              </a:ln>
              <a:effectLst/>
            </c:spPr>
          </c:dPt>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noFill/>
                    <a:ln w="9525" cap="flat" cmpd="sng" algn="ctr">
                      <a:solidFill>
                        <a:schemeClr val="tx1"/>
                      </a:solidFill>
                      <a:prstDash val="solid"/>
                    </a:ln>
                    <a:effectLst/>
                  </c:spPr>
                </c15:leaderLines>
              </c:ext>
            </c:extLst>
          </c:dLbls>
          <c:cat>
            <c:strRef>
              <c:f>Sheet1!$F$2:$L$2</c:f>
              <c:strCache>
                <c:ptCount val="7"/>
                <c:pt idx="0">
                  <c:v>外交部</c:v>
                </c:pt>
                <c:pt idx="1">
                  <c:v>总统办公室</c:v>
                </c:pt>
                <c:pt idx="2">
                  <c:v>首相办公室</c:v>
                </c:pt>
                <c:pt idx="3">
                  <c:v>高校</c:v>
                </c:pt>
                <c:pt idx="4">
                  <c:v>教育部</c:v>
                </c:pt>
                <c:pt idx="5">
                  <c:v>其他政府部门</c:v>
                </c:pt>
                <c:pt idx="6">
                  <c:v>其他</c:v>
                </c:pt>
              </c:strCache>
            </c:strRef>
          </c:cat>
          <c:val>
            <c:numRef>
              <c:f>Sheet1!$F$13:$L$13</c:f>
              <c:numCache>
                <c:formatCode>0%</c:formatCode>
                <c:ptCount val="7"/>
                <c:pt idx="0">
                  <c:v>0.166666666666667</c:v>
                </c:pt>
                <c:pt idx="1">
                  <c:v>0.0909090909090911</c:v>
                </c:pt>
                <c:pt idx="2">
                  <c:v>0.0265151515151515</c:v>
                </c:pt>
                <c:pt idx="3">
                  <c:v>0.0833333333333333</c:v>
                </c:pt>
                <c:pt idx="4">
                  <c:v>0.113636363636364</c:v>
                </c:pt>
                <c:pt idx="5">
                  <c:v>0.46969696969697</c:v>
                </c:pt>
                <c:pt idx="6">
                  <c:v>0.0492424242424244</c:v>
                </c:pt>
              </c:numCache>
            </c:numRef>
          </c:val>
        </c:ser>
        <c:dLbls>
          <c:dLblPos val="bestFit"/>
          <c:showLegendKey val="0"/>
          <c:showVal val="1"/>
          <c:showCatName val="0"/>
          <c:showSerName val="0"/>
          <c:showPercent val="0"/>
          <c:showBubbleSize val="0"/>
          <c:showLeaderLines val="1"/>
        </c:dLbls>
        <c:firstSliceAng val="15"/>
      </c:pieChart>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ea"/>
              <a:ea typeface="+mn-ea"/>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a:t>学生国别统计 以学年为单位</a:t>
            </a:r>
            <a:endParaRPr lang="zh-CN" altLang="en-US"/>
          </a:p>
        </c:rich>
      </c:tx>
      <c:layout/>
      <c:overlay val="0"/>
      <c:spPr>
        <a:noFill/>
        <a:ln>
          <a:noFill/>
        </a:ln>
        <a:effectLst/>
      </c:spPr>
    </c:title>
    <c:autoTitleDeleted val="0"/>
    <c:plotArea>
      <c:layout/>
      <c:barChart>
        <c:barDir val="col"/>
        <c:grouping val="clustered"/>
        <c:varyColors val="0"/>
        <c:ser>
          <c:idx val="0"/>
          <c:order val="0"/>
          <c:tx>
            <c:strRef>
              <c:f>'2008-2015'!$B$121</c:f>
              <c:strCache>
                <c:ptCount val="1"/>
                <c:pt idx="0">
                  <c:v>亚洲</c:v>
                </c:pt>
              </c:strCache>
            </c:strRef>
          </c:tx>
          <c:spPr>
            <a:solidFill>
              <a:schemeClr val="accent1"/>
            </a:solidFill>
            <a:ln>
              <a:noFill/>
            </a:ln>
            <a:effectLst/>
          </c:spPr>
          <c:invertIfNegative val="0"/>
          <c:cat>
            <c:numRef>
              <c:f>'2008-2015'!$C$120:$J$120</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'2008-2015'!$C$121:$J$121</c:f>
              <c:numCache>
                <c:formatCode>General</c:formatCode>
                <c:ptCount val="8"/>
                <c:pt idx="0" c:formatCode="General">
                  <c:v>8</c:v>
                </c:pt>
                <c:pt idx="1" c:formatCode="General">
                  <c:v>7</c:v>
                </c:pt>
                <c:pt idx="2" c:formatCode="General">
                  <c:v>7</c:v>
                </c:pt>
                <c:pt idx="3" c:formatCode="General">
                  <c:v>7</c:v>
                </c:pt>
                <c:pt idx="4" c:formatCode="General">
                  <c:v>12</c:v>
                </c:pt>
                <c:pt idx="5" c:formatCode="General">
                  <c:v>3</c:v>
                </c:pt>
                <c:pt idx="6" c:formatCode="General">
                  <c:v>1</c:v>
                </c:pt>
                <c:pt idx="7" c:formatCode="General">
                  <c:v>7</c:v>
                </c:pt>
              </c:numCache>
            </c:numRef>
          </c:val>
        </c:ser>
        <c:ser>
          <c:idx val="1"/>
          <c:order val="1"/>
          <c:tx>
            <c:strRef>
              <c:f>'2008-2015'!$B$122</c:f>
              <c:strCache>
                <c:ptCount val="1"/>
                <c:pt idx="0">
                  <c:v>非洲</c:v>
                </c:pt>
              </c:strCache>
            </c:strRef>
          </c:tx>
          <c:spPr>
            <a:solidFill>
              <a:schemeClr val="accent2"/>
            </a:solidFill>
            <a:ln>
              <a:noFill/>
            </a:ln>
            <a:effectLst/>
          </c:spPr>
          <c:invertIfNegative val="0"/>
          <c:cat>
            <c:numRef>
              <c:f>'2008-2015'!$C$120:$J$120</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'2008-2015'!$C$122:$J$122</c:f>
              <c:numCache>
                <c:formatCode>General</c:formatCode>
                <c:ptCount val="8"/>
                <c:pt idx="0" c:formatCode="General">
                  <c:v>27</c:v>
                </c:pt>
                <c:pt idx="1" c:formatCode="General">
                  <c:v>29</c:v>
                </c:pt>
                <c:pt idx="2" c:formatCode="General">
                  <c:v>31</c:v>
                </c:pt>
                <c:pt idx="3" c:formatCode="General">
                  <c:v>20</c:v>
                </c:pt>
                <c:pt idx="4" c:formatCode="General">
                  <c:v>15</c:v>
                </c:pt>
                <c:pt idx="5" c:formatCode="General">
                  <c:v>18</c:v>
                </c:pt>
                <c:pt idx="6" c:formatCode="General">
                  <c:v>22</c:v>
                </c:pt>
                <c:pt idx="7" c:formatCode="General">
                  <c:v>22</c:v>
                </c:pt>
              </c:numCache>
            </c:numRef>
          </c:val>
        </c:ser>
        <c:ser>
          <c:idx val="2"/>
          <c:order val="2"/>
          <c:tx>
            <c:strRef>
              <c:f>'2008-2015'!$B$123</c:f>
              <c:strCache>
                <c:ptCount val="1"/>
                <c:pt idx="0">
                  <c:v>北美洲</c:v>
                </c:pt>
              </c:strCache>
            </c:strRef>
          </c:tx>
          <c:spPr>
            <a:solidFill>
              <a:schemeClr val="accent3"/>
            </a:solidFill>
            <a:ln>
              <a:noFill/>
            </a:ln>
            <a:effectLst/>
          </c:spPr>
          <c:invertIfNegative val="0"/>
          <c:cat>
            <c:numRef>
              <c:f>'2008-2015'!$C$120:$J$120</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'2008-2015'!$C$123:$J$123</c:f>
              <c:numCache>
                <c:formatCode>General</c:formatCode>
                <c:ptCount val="8"/>
                <c:pt idx="0" c:formatCode="General">
                  <c:v>0</c:v>
                </c:pt>
                <c:pt idx="1" c:formatCode="General">
                  <c:v>0</c:v>
                </c:pt>
                <c:pt idx="2" c:formatCode="General">
                  <c:v>0</c:v>
                </c:pt>
                <c:pt idx="3" c:formatCode="General">
                  <c:v>0</c:v>
                </c:pt>
                <c:pt idx="4" c:formatCode="General">
                  <c:v>2</c:v>
                </c:pt>
                <c:pt idx="5" c:formatCode="General">
                  <c:v>3</c:v>
                </c:pt>
                <c:pt idx="6" c:formatCode="General">
                  <c:v>1</c:v>
                </c:pt>
                <c:pt idx="7" c:formatCode="General">
                  <c:v>1</c:v>
                </c:pt>
              </c:numCache>
            </c:numRef>
          </c:val>
        </c:ser>
        <c:ser>
          <c:idx val="3"/>
          <c:order val="3"/>
          <c:tx>
            <c:strRef>
              <c:f>'2008-2015'!$B$124</c:f>
              <c:strCache>
                <c:ptCount val="1"/>
                <c:pt idx="0">
                  <c:v>南美洲</c:v>
                </c:pt>
              </c:strCache>
            </c:strRef>
          </c:tx>
          <c:spPr>
            <a:solidFill>
              <a:schemeClr val="accent4"/>
            </a:solidFill>
            <a:ln>
              <a:noFill/>
            </a:ln>
            <a:effectLst/>
          </c:spPr>
          <c:invertIfNegative val="0"/>
          <c:cat>
            <c:numRef>
              <c:f>'2008-2015'!$C$120:$J$120</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'2008-2015'!$C$124:$J$124</c:f>
              <c:numCache>
                <c:formatCode>General</c:formatCode>
                <c:ptCount val="8"/>
                <c:pt idx="0" c:formatCode="General">
                  <c:v>0</c:v>
                </c:pt>
                <c:pt idx="1" c:formatCode="General">
                  <c:v>0</c:v>
                </c:pt>
                <c:pt idx="2" c:formatCode="General">
                  <c:v>0</c:v>
                </c:pt>
                <c:pt idx="3" c:formatCode="General">
                  <c:v>0</c:v>
                </c:pt>
                <c:pt idx="4" c:formatCode="General">
                  <c:v>2</c:v>
                </c:pt>
                <c:pt idx="5" c:formatCode="General">
                  <c:v>1</c:v>
                </c:pt>
                <c:pt idx="6" c:formatCode="General">
                  <c:v>3</c:v>
                </c:pt>
                <c:pt idx="7" c:formatCode="General">
                  <c:v>3</c:v>
                </c:pt>
              </c:numCache>
            </c:numRef>
          </c:val>
        </c:ser>
        <c:ser>
          <c:idx val="4"/>
          <c:order val="4"/>
          <c:tx>
            <c:strRef>
              <c:f>'2008-2015'!$B$125</c:f>
              <c:strCache>
                <c:ptCount val="1"/>
                <c:pt idx="0">
                  <c:v>大洋洲</c:v>
                </c:pt>
              </c:strCache>
            </c:strRef>
          </c:tx>
          <c:spPr>
            <a:solidFill>
              <a:schemeClr val="accent5"/>
            </a:solidFill>
            <a:ln>
              <a:noFill/>
            </a:ln>
            <a:effectLst/>
          </c:spPr>
          <c:invertIfNegative val="0"/>
          <c:cat>
            <c:numRef>
              <c:f>'2008-2015'!$C$120:$J$120</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'2008-2015'!$C$125:$J$125</c:f>
              <c:numCache>
                <c:formatCode>General</c:formatCode>
                <c:ptCount val="8"/>
                <c:pt idx="0" c:formatCode="General">
                  <c:v>0</c:v>
                </c:pt>
                <c:pt idx="1" c:formatCode="General">
                  <c:v>0</c:v>
                </c:pt>
                <c:pt idx="2" c:formatCode="General">
                  <c:v>0</c:v>
                </c:pt>
                <c:pt idx="3" c:formatCode="General">
                  <c:v>0</c:v>
                </c:pt>
                <c:pt idx="4" c:formatCode="General">
                  <c:v>1</c:v>
                </c:pt>
                <c:pt idx="5" c:formatCode="General">
                  <c:v>2</c:v>
                </c:pt>
                <c:pt idx="6" c:formatCode="General">
                  <c:v>2</c:v>
                </c:pt>
                <c:pt idx="7" c:formatCode="General">
                  <c:v>0</c:v>
                </c:pt>
              </c:numCache>
            </c:numRef>
          </c:val>
        </c:ser>
        <c:ser>
          <c:idx val="5"/>
          <c:order val="5"/>
          <c:tx>
            <c:strRef>
              <c:f>'2008-2015'!$B$126</c:f>
              <c:strCache>
                <c:ptCount val="1"/>
                <c:pt idx="0">
                  <c:v>欧洲</c:v>
                </c:pt>
              </c:strCache>
            </c:strRef>
          </c:tx>
          <c:spPr>
            <a:solidFill>
              <a:schemeClr val="accent6"/>
            </a:solidFill>
            <a:ln>
              <a:noFill/>
            </a:ln>
            <a:effectLst/>
          </c:spPr>
          <c:invertIfNegative val="0"/>
          <c:cat>
            <c:numRef>
              <c:f>'2008-2015'!$C$120:$J$120</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'2008-2015'!$C$126:$J$126</c:f>
              <c:numCache>
                <c:formatCode>General</c:formatCode>
                <c:ptCount val="8"/>
                <c:pt idx="0" c:formatCode="General">
                  <c:v>0</c:v>
                </c:pt>
                <c:pt idx="1" c:formatCode="General">
                  <c:v>0</c:v>
                </c:pt>
                <c:pt idx="2" c:formatCode="General">
                  <c:v>0</c:v>
                </c:pt>
                <c:pt idx="3" c:formatCode="General">
                  <c:v>0</c:v>
                </c:pt>
                <c:pt idx="4" c:formatCode="General">
                  <c:v>0</c:v>
                </c:pt>
                <c:pt idx="5" c:formatCode="General">
                  <c:v>3</c:v>
                </c:pt>
                <c:pt idx="6" c:formatCode="General">
                  <c:v>2</c:v>
                </c:pt>
                <c:pt idx="7" c:formatCode="General">
                  <c:v>0</c:v>
                </c:pt>
              </c:numCache>
            </c:numRef>
          </c:val>
        </c:ser>
        <c:ser>
          <c:idx val="6"/>
          <c:order val="6"/>
          <c:tx>
            <c:strRef>
              <c:f>'2008-2015'!$B$127</c:f>
              <c:strCache>
                <c:ptCount val="1"/>
                <c:pt idx="0">
                  <c:v>总计</c:v>
                </c:pt>
              </c:strCache>
            </c:strRef>
          </c:tx>
          <c:spPr>
            <a:solidFill>
              <a:schemeClr val="accent1">
                <a:tint val="30000"/>
              </a:schemeClr>
            </a:solidFill>
            <a:ln>
              <a:noFill/>
            </a:ln>
            <a:effectLst/>
          </c:spPr>
          <c:invertIfNegative val="0"/>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numRef>
              <c:f>'2008-2015'!$C$120:$J$120</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'2008-2015'!$C$127:$J$127</c:f>
              <c:numCache>
                <c:formatCode>General</c:formatCode>
                <c:ptCount val="8"/>
                <c:pt idx="0" c:formatCode="General">
                  <c:v>35</c:v>
                </c:pt>
                <c:pt idx="1" c:formatCode="General">
                  <c:v>36</c:v>
                </c:pt>
                <c:pt idx="2" c:formatCode="General">
                  <c:v>38</c:v>
                </c:pt>
                <c:pt idx="3" c:formatCode="General">
                  <c:v>27</c:v>
                </c:pt>
                <c:pt idx="4" c:formatCode="General">
                  <c:v>32</c:v>
                </c:pt>
                <c:pt idx="5" c:formatCode="General">
                  <c:v>30</c:v>
                </c:pt>
                <c:pt idx="6" c:formatCode="General">
                  <c:v>31</c:v>
                </c:pt>
                <c:pt idx="7" c:formatCode="General">
                  <c:v>33</c:v>
                </c:pt>
              </c:numCache>
            </c:numRef>
          </c:val>
        </c:ser>
        <c:dLbls>
          <c:dLblPos val="outEnd"/>
          <c:showLegendKey val="0"/>
          <c:showVal val="0"/>
          <c:showCatName val="0"/>
          <c:showSerName val="0"/>
          <c:showPercent val="0"/>
          <c:showBubbleSize val="0"/>
        </c:dLbls>
        <c:gapWidth val="75"/>
        <c:overlap val="40"/>
        <c:axId val="226917760"/>
        <c:axId val="226925568"/>
      </c:barChart>
      <c:catAx>
        <c:axId val="226917760"/>
        <c:scaling>
          <c:orientation val="minMax"/>
        </c:scaling>
        <c:delete val="0"/>
        <c:axPos val="b"/>
        <c:numFmt formatCode="General" sourceLinked="1"/>
        <c:majorTickMark val="none"/>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26925568"/>
        <c:crosses val="autoZero"/>
        <c:auto val="1"/>
        <c:lblAlgn val="ctr"/>
        <c:lblOffset val="100"/>
        <c:tickMarkSkip val="1"/>
        <c:noMultiLvlLbl val="0"/>
      </c:catAx>
      <c:valAx>
        <c:axId val="226925568"/>
        <c:scaling>
          <c:orientation val="minMax"/>
        </c:scaling>
        <c:delete val="0"/>
        <c:axPos val="l"/>
        <c:majorGridlines>
          <c:spPr>
            <a:noFill/>
            <a:ln>
              <a:solidFill>
                <a:schemeClr val="tx1">
                  <a:lumMod val="50000"/>
                  <a:lumOff val="50000"/>
                </a:schemeClr>
              </a:solidFill>
            </a:ln>
            <a:effectLst/>
          </c:spPr>
        </c:majorGridlines>
        <c:numFmt formatCode="General" sourceLinked="1"/>
        <c:majorTickMark val="none"/>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26917760"/>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400" b="1">
                <a:solidFill>
                  <a:schemeClr val="tx1"/>
                </a:solidFill>
                <a:latin typeface="+mn-lt"/>
                <a:ea typeface="+mn-ea"/>
                <a:cs typeface="+mn-cs"/>
              </a:defRPr>
            </a:pPr>
            <a:r>
              <a:rPr lang="en-US" altLang="zh-CN" sz="1400" b="1"/>
              <a:t>Profession</a:t>
            </a:r>
            <a:r>
              <a:rPr lang="en-US" altLang="zh-CN" sz="1400" b="1" baseline="0"/>
              <a:t> Background of IMPA Students </a:t>
            </a:r>
            <a:endParaRPr lang="en-US" altLang="zh-CN" sz="1400" b="1" baseline="0"/>
          </a:p>
          <a:p>
            <a:pPr algn="ctr">
              <a:defRPr sz="1400" b="1">
                <a:solidFill>
                  <a:schemeClr val="tx1"/>
                </a:solidFill>
                <a:latin typeface="+mn-lt"/>
                <a:ea typeface="+mn-ea"/>
                <a:cs typeface="+mn-cs"/>
              </a:defRPr>
            </a:pPr>
            <a:r>
              <a:rPr lang="en-US" altLang="zh-CN" sz="1400" b="1" baseline="0"/>
              <a:t>as of May 2015</a:t>
            </a:r>
            <a:endParaRPr lang="zh-CN" altLang="zh-CN" sz="1400" b="1"/>
          </a:p>
        </c:rich>
      </c:tx>
      <c:layout/>
      <c:overlay val="0"/>
      <c:spPr>
        <a:noFill/>
        <a:ln>
          <a:noFill/>
        </a:ln>
        <a:effectLst/>
      </c:spPr>
    </c:title>
    <c:autoTitleDeleted val="0"/>
    <c:plotArea>
      <c:layout>
        <c:manualLayout>
          <c:layoutTarget val="inner"/>
          <c:xMode val="edge"/>
          <c:yMode val="edge"/>
          <c:x val="0.0305554918218004"/>
          <c:y val="0.24537037037037"/>
          <c:w val="0.453116267751299"/>
          <c:h val="0.689814814814819"/>
        </c:manualLayout>
      </c:layout>
      <c:pieChart>
        <c:varyColors val="1"/>
        <c:ser>
          <c:idx val="0"/>
          <c:order val="0"/>
          <c:spPr>
            <a:effectLst/>
          </c:spPr>
          <c:explosion val="5"/>
          <c:dPt>
            <c:idx val="0"/>
            <c:bubble3D val="0"/>
            <c:explosion val="4"/>
            <c:spPr>
              <a:solidFill>
                <a:schemeClr val="accent1">
                  <a:shade val="76667"/>
                </a:schemeClr>
              </a:solidFill>
              <a:ln>
                <a:noFill/>
              </a:ln>
              <a:effectLst/>
            </c:spPr>
          </c:dPt>
          <c:dPt>
            <c:idx val="1"/>
            <c:bubble3D val="0"/>
            <c:explosion val="5"/>
            <c:spPr>
              <a:solidFill>
                <a:schemeClr val="accent2">
                  <a:shade val="76667"/>
                </a:schemeClr>
              </a:solidFill>
              <a:ln>
                <a:noFill/>
              </a:ln>
              <a:effectLst/>
            </c:spPr>
          </c:dPt>
          <c:dPt>
            <c:idx val="2"/>
            <c:bubble3D val="0"/>
            <c:explosion val="5"/>
            <c:spPr>
              <a:solidFill>
                <a:schemeClr val="accent3">
                  <a:shade val="76667"/>
                </a:schemeClr>
              </a:solidFill>
              <a:ln>
                <a:noFill/>
              </a:ln>
              <a:effectLst/>
            </c:spPr>
          </c:dPt>
          <c:dPt>
            <c:idx val="3"/>
            <c:bubble3D val="0"/>
            <c:explosion val="5"/>
            <c:spPr>
              <a:solidFill>
                <a:schemeClr val="accent4">
                  <a:shade val="76667"/>
                </a:schemeClr>
              </a:solidFill>
              <a:ln>
                <a:noFill/>
              </a:ln>
              <a:effectLst/>
            </c:spPr>
          </c:dPt>
          <c:dPt>
            <c:idx val="4"/>
            <c:bubble3D val="0"/>
            <c:explosion val="2"/>
            <c:spPr>
              <a:solidFill>
                <a:schemeClr val="accent5">
                  <a:shade val="76667"/>
                </a:schemeClr>
              </a:solidFill>
              <a:ln>
                <a:noFill/>
              </a:ln>
              <a:effectLst/>
            </c:spPr>
          </c:dPt>
          <c:dPt>
            <c:idx val="5"/>
            <c:bubble3D val="0"/>
            <c:explosion val="0"/>
            <c:spPr>
              <a:solidFill>
                <a:schemeClr val="accent6">
                  <a:shade val="76667"/>
                </a:schemeClr>
              </a:solidFill>
              <a:ln>
                <a:noFill/>
              </a:ln>
              <a:effectLst/>
            </c:spPr>
          </c:dPt>
          <c:dPt>
            <c:idx val="6"/>
            <c:bubble3D val="0"/>
            <c:explosion val="5"/>
            <c:spPr>
              <a:solidFill>
                <a:schemeClr val="accent1">
                  <a:tint val="76667"/>
                </a:schemeClr>
              </a:solidFill>
              <a:ln>
                <a:noFill/>
              </a:ln>
              <a:effectLst/>
            </c:spPr>
          </c:dPt>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bestFi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strRef>
              <c:f>Sheet2!$F$1:$L$1</c:f>
              <c:strCache>
                <c:ptCount val="7"/>
                <c:pt idx="0">
                  <c:v>the Ministry of Foreign Affairs</c:v>
                </c:pt>
                <c:pt idx="1">
                  <c:v>the Office of President</c:v>
                </c:pt>
                <c:pt idx="2">
                  <c:v>the Office of Prime Minister</c:v>
                </c:pt>
                <c:pt idx="3">
                  <c:v>Colleges&amp;Universities</c:v>
                </c:pt>
                <c:pt idx="4">
                  <c:v>the Ministry of Education</c:v>
                </c:pt>
                <c:pt idx="5">
                  <c:v>Other (including provincial government)</c:v>
                </c:pt>
                <c:pt idx="6">
                  <c:v>Others</c:v>
                </c:pt>
              </c:strCache>
            </c:strRef>
          </c:cat>
          <c:val>
            <c:numRef>
              <c:f>Sheet2!$F$2:$L$2</c:f>
              <c:numCache>
                <c:formatCode>0%</c:formatCode>
                <c:ptCount val="7"/>
                <c:pt idx="0">
                  <c:v>0.166666666666667</c:v>
                </c:pt>
                <c:pt idx="1">
                  <c:v>0.0909090909090911</c:v>
                </c:pt>
                <c:pt idx="2">
                  <c:v>0.0265151515151515</c:v>
                </c:pt>
                <c:pt idx="3">
                  <c:v>0.0833333333333333</c:v>
                </c:pt>
                <c:pt idx="4">
                  <c:v>0.13215859030837</c:v>
                </c:pt>
                <c:pt idx="5">
                  <c:v>0.46969696969697</c:v>
                </c:pt>
                <c:pt idx="6">
                  <c:v>0.0492424242424244</c:v>
                </c:pt>
              </c:numCache>
            </c:numRef>
          </c:val>
        </c:ser>
        <c:dLbls>
          <c:dLblPos val="bestFit"/>
          <c:showLegendKey val="0"/>
          <c:showVal val="1"/>
          <c:showCatName val="0"/>
          <c:showSerName val="0"/>
          <c:showPercent val="0"/>
          <c:showBubbleSize val="0"/>
        </c:dLbls>
        <c:firstSliceAng val="15"/>
      </c:pieChart>
      <c:spPr>
        <a:solidFill>
          <a:schemeClr val="bg1"/>
        </a:solidFill>
        <a:ln>
          <a:noFill/>
        </a:ln>
        <a:effectLst/>
      </c:spPr>
    </c:plotArea>
    <c:legend>
      <c:legendPos val="r"/>
      <c:layout>
        <c:manualLayout>
          <c:xMode val="edge"/>
          <c:yMode val="edge"/>
          <c:x val="0.616874954025057"/>
          <c:y val="0.219919072615925"/>
          <c:w val="0.341106451549405"/>
          <c:h val="0.756765640658563"/>
        </c:manualLayout>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en-US" altLang="zh-CN"/>
              <a:t>Number of Nationalities by the End of Each Academic Year</a:t>
            </a:r>
            <a:endParaRPr lang="zh-CN" altLang="en-US"/>
          </a:p>
        </c:rich>
      </c:tx>
      <c:layout/>
      <c:overlay val="0"/>
      <c:spPr>
        <a:noFill/>
        <a:ln>
          <a:noFill/>
        </a:ln>
        <a:effectLst/>
      </c:spPr>
    </c:title>
    <c:autoTitleDeleted val="0"/>
    <c:plotArea>
      <c:layout/>
      <c:barChart>
        <c:barDir val="col"/>
        <c:grouping val="clustered"/>
        <c:varyColors val="0"/>
        <c:ser>
          <c:idx val="0"/>
          <c:order val="0"/>
          <c:tx>
            <c:strRef>
              <c:f>'2008-2015'!$B$88</c:f>
              <c:strCache>
                <c:ptCount val="1"/>
                <c:pt idx="0">
                  <c:v>Asia</c:v>
                </c:pt>
              </c:strCache>
            </c:strRef>
          </c:tx>
          <c:spPr>
            <a:solidFill>
              <a:schemeClr val="accent1"/>
            </a:solidFill>
            <a:ln>
              <a:noFill/>
            </a:ln>
            <a:effectLst/>
          </c:spPr>
          <c:invertIfNegative val="0"/>
          <c:cat>
            <c:numRef>
              <c:f>'2008-2015'!$C$87:$J$87</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'2008-2015'!$C$88:$J$88</c:f>
              <c:numCache>
                <c:formatCode>General</c:formatCode>
                <c:ptCount val="8"/>
                <c:pt idx="0" c:formatCode="General">
                  <c:v>8</c:v>
                </c:pt>
                <c:pt idx="1" c:formatCode="General">
                  <c:v>7</c:v>
                </c:pt>
                <c:pt idx="2" c:formatCode="General">
                  <c:v>7</c:v>
                </c:pt>
                <c:pt idx="3" c:formatCode="General">
                  <c:v>7</c:v>
                </c:pt>
                <c:pt idx="4" c:formatCode="General">
                  <c:v>12</c:v>
                </c:pt>
                <c:pt idx="5" c:formatCode="General">
                  <c:v>3</c:v>
                </c:pt>
                <c:pt idx="6" c:formatCode="General">
                  <c:v>1</c:v>
                </c:pt>
                <c:pt idx="7" c:formatCode="General">
                  <c:v>7</c:v>
                </c:pt>
              </c:numCache>
            </c:numRef>
          </c:val>
        </c:ser>
        <c:ser>
          <c:idx val="1"/>
          <c:order val="1"/>
          <c:tx>
            <c:strRef>
              <c:f>'2008-2015'!$B$89</c:f>
              <c:strCache>
                <c:ptCount val="1"/>
                <c:pt idx="0">
                  <c:v>Africa</c:v>
                </c:pt>
              </c:strCache>
            </c:strRef>
          </c:tx>
          <c:spPr>
            <a:solidFill>
              <a:schemeClr val="accent2"/>
            </a:solidFill>
            <a:ln>
              <a:noFill/>
            </a:ln>
            <a:effectLst/>
          </c:spPr>
          <c:invertIfNegative val="0"/>
          <c:cat>
            <c:numRef>
              <c:f>'2008-2015'!$C$87:$J$87</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'2008-2015'!$C$89:$J$89</c:f>
              <c:numCache>
                <c:formatCode>General</c:formatCode>
                <c:ptCount val="8"/>
                <c:pt idx="0" c:formatCode="General">
                  <c:v>27</c:v>
                </c:pt>
                <c:pt idx="1" c:formatCode="General">
                  <c:v>29</c:v>
                </c:pt>
                <c:pt idx="2" c:formatCode="General">
                  <c:v>31</c:v>
                </c:pt>
                <c:pt idx="3" c:formatCode="General">
                  <c:v>20</c:v>
                </c:pt>
                <c:pt idx="4" c:formatCode="General">
                  <c:v>15</c:v>
                </c:pt>
                <c:pt idx="5" c:formatCode="General">
                  <c:v>18</c:v>
                </c:pt>
                <c:pt idx="6" c:formatCode="General">
                  <c:v>22</c:v>
                </c:pt>
                <c:pt idx="7" c:formatCode="General">
                  <c:v>22</c:v>
                </c:pt>
              </c:numCache>
            </c:numRef>
          </c:val>
        </c:ser>
        <c:ser>
          <c:idx val="2"/>
          <c:order val="2"/>
          <c:tx>
            <c:strRef>
              <c:f>'2008-2015'!$B$90</c:f>
              <c:strCache>
                <c:ptCount val="1"/>
                <c:pt idx="0">
                  <c:v>North America</c:v>
                </c:pt>
              </c:strCache>
            </c:strRef>
          </c:tx>
          <c:spPr>
            <a:solidFill>
              <a:schemeClr val="accent3"/>
            </a:solidFill>
            <a:ln>
              <a:noFill/>
            </a:ln>
            <a:effectLst/>
          </c:spPr>
          <c:invertIfNegative val="0"/>
          <c:cat>
            <c:numRef>
              <c:f>'2008-2015'!$C$87:$J$87</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'2008-2015'!$C$90:$J$90</c:f>
              <c:numCache>
                <c:formatCode>General</c:formatCode>
                <c:ptCount val="8"/>
                <c:pt idx="0" c:formatCode="General">
                  <c:v>0</c:v>
                </c:pt>
                <c:pt idx="1" c:formatCode="General">
                  <c:v>0</c:v>
                </c:pt>
                <c:pt idx="2" c:formatCode="General">
                  <c:v>0</c:v>
                </c:pt>
                <c:pt idx="3" c:formatCode="General">
                  <c:v>0</c:v>
                </c:pt>
                <c:pt idx="4" c:formatCode="General">
                  <c:v>2</c:v>
                </c:pt>
                <c:pt idx="5" c:formatCode="General">
                  <c:v>3</c:v>
                </c:pt>
                <c:pt idx="6" c:formatCode="General">
                  <c:v>1</c:v>
                </c:pt>
                <c:pt idx="7" c:formatCode="General">
                  <c:v>1</c:v>
                </c:pt>
              </c:numCache>
            </c:numRef>
          </c:val>
        </c:ser>
        <c:ser>
          <c:idx val="3"/>
          <c:order val="3"/>
          <c:tx>
            <c:strRef>
              <c:f>'2008-2015'!$B$91</c:f>
              <c:strCache>
                <c:ptCount val="1"/>
                <c:pt idx="0">
                  <c:v>South America</c:v>
                </c:pt>
              </c:strCache>
            </c:strRef>
          </c:tx>
          <c:spPr>
            <a:solidFill>
              <a:schemeClr val="accent4"/>
            </a:solidFill>
            <a:ln>
              <a:noFill/>
            </a:ln>
            <a:effectLst/>
          </c:spPr>
          <c:invertIfNegative val="0"/>
          <c:cat>
            <c:numRef>
              <c:f>'2008-2015'!$C$87:$J$87</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'2008-2015'!$C$91:$J$91</c:f>
              <c:numCache>
                <c:formatCode>General</c:formatCode>
                <c:ptCount val="8"/>
                <c:pt idx="0" c:formatCode="General">
                  <c:v>0</c:v>
                </c:pt>
                <c:pt idx="1" c:formatCode="General">
                  <c:v>0</c:v>
                </c:pt>
                <c:pt idx="2" c:formatCode="General">
                  <c:v>0</c:v>
                </c:pt>
                <c:pt idx="3" c:formatCode="General">
                  <c:v>0</c:v>
                </c:pt>
                <c:pt idx="4" c:formatCode="General">
                  <c:v>2</c:v>
                </c:pt>
                <c:pt idx="5" c:formatCode="General">
                  <c:v>1</c:v>
                </c:pt>
                <c:pt idx="6" c:formatCode="General">
                  <c:v>3</c:v>
                </c:pt>
                <c:pt idx="7" c:formatCode="General">
                  <c:v>3</c:v>
                </c:pt>
              </c:numCache>
            </c:numRef>
          </c:val>
        </c:ser>
        <c:ser>
          <c:idx val="4"/>
          <c:order val="4"/>
          <c:tx>
            <c:strRef>
              <c:f>'2008-2015'!$B$92</c:f>
              <c:strCache>
                <c:ptCount val="1"/>
                <c:pt idx="0">
                  <c:v>Oceania</c:v>
                </c:pt>
              </c:strCache>
            </c:strRef>
          </c:tx>
          <c:spPr>
            <a:solidFill>
              <a:schemeClr val="accent5"/>
            </a:solidFill>
            <a:ln>
              <a:noFill/>
            </a:ln>
            <a:effectLst/>
          </c:spPr>
          <c:invertIfNegative val="0"/>
          <c:cat>
            <c:numRef>
              <c:f>'2008-2015'!$C$87:$J$87</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'2008-2015'!$C$92:$J$92</c:f>
              <c:numCache>
                <c:formatCode>General</c:formatCode>
                <c:ptCount val="8"/>
                <c:pt idx="0" c:formatCode="General">
                  <c:v>0</c:v>
                </c:pt>
                <c:pt idx="1" c:formatCode="General">
                  <c:v>0</c:v>
                </c:pt>
                <c:pt idx="2" c:formatCode="General">
                  <c:v>0</c:v>
                </c:pt>
                <c:pt idx="3" c:formatCode="General">
                  <c:v>0</c:v>
                </c:pt>
                <c:pt idx="4" c:formatCode="General">
                  <c:v>1</c:v>
                </c:pt>
                <c:pt idx="5" c:formatCode="General">
                  <c:v>2</c:v>
                </c:pt>
                <c:pt idx="6" c:formatCode="General">
                  <c:v>2</c:v>
                </c:pt>
                <c:pt idx="7" c:formatCode="General">
                  <c:v>0</c:v>
                </c:pt>
              </c:numCache>
            </c:numRef>
          </c:val>
        </c:ser>
        <c:ser>
          <c:idx val="5"/>
          <c:order val="5"/>
          <c:tx>
            <c:strRef>
              <c:f>'2008-2015'!$B$93</c:f>
              <c:strCache>
                <c:ptCount val="1"/>
                <c:pt idx="0">
                  <c:v>Europe</c:v>
                </c:pt>
              </c:strCache>
            </c:strRef>
          </c:tx>
          <c:spPr>
            <a:solidFill>
              <a:schemeClr val="accent6"/>
            </a:solidFill>
            <a:ln>
              <a:noFill/>
            </a:ln>
            <a:effectLst/>
          </c:spPr>
          <c:invertIfNegative val="0"/>
          <c:cat>
            <c:numRef>
              <c:f>'2008-2015'!$C$87:$J$87</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'2008-2015'!$C$93:$J$93</c:f>
              <c:numCache>
                <c:formatCode>General</c:formatCode>
                <c:ptCount val="8"/>
                <c:pt idx="0" c:formatCode="General">
                  <c:v>0</c:v>
                </c:pt>
                <c:pt idx="1" c:formatCode="General">
                  <c:v>0</c:v>
                </c:pt>
                <c:pt idx="2" c:formatCode="General">
                  <c:v>0</c:v>
                </c:pt>
                <c:pt idx="3" c:formatCode="General">
                  <c:v>0</c:v>
                </c:pt>
                <c:pt idx="4" c:formatCode="General">
                  <c:v>0</c:v>
                </c:pt>
                <c:pt idx="5" c:formatCode="General">
                  <c:v>3</c:v>
                </c:pt>
                <c:pt idx="6" c:formatCode="General">
                  <c:v>2</c:v>
                </c:pt>
                <c:pt idx="7" c:formatCode="General">
                  <c:v>0</c:v>
                </c:pt>
              </c:numCache>
            </c:numRef>
          </c:val>
        </c:ser>
        <c:ser>
          <c:idx val="6"/>
          <c:order val="6"/>
          <c:tx>
            <c:strRef>
              <c:f>'2008-2015'!$B$94</c:f>
              <c:strCache>
                <c:ptCount val="1"/>
                <c:pt idx="0">
                  <c:v>Total</c:v>
                </c:pt>
              </c:strCache>
            </c:strRef>
          </c:tx>
          <c:spPr>
            <a:solidFill>
              <a:schemeClr val="accent1">
                <a:tint val="30000"/>
              </a:schemeClr>
            </a:solidFill>
            <a:ln>
              <a:noFill/>
            </a:ln>
            <a:effectLst/>
          </c:spPr>
          <c:invertIfNegative val="0"/>
          <c:dLbls>
            <c:numFmt formatCode="General" sourceLinked="1"/>
            <c:txPr>
              <a:bodyPr rot="0" spcFirstLastPara="0" vertOverflow="ellipsis" horzOverflow="overflow" vert="horz" wrap="square" anchor="ctr" anchorCtr="1"/>
              <a:lstStyle/>
              <a:p>
                <a:pPr>
                  <a:defRPr sz="1000" b="0">
                    <a:solidFill>
                      <a:schemeClr val="tx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noFill/>
                    <a:ln w="9525" cap="flat" cmpd="sng" algn="ctr">
                      <a:solidFill>
                        <a:schemeClr val="tx1"/>
                      </a:solidFill>
                      <a:prstDash val="solid"/>
                    </a:ln>
                    <a:effectLst/>
                  </c:spPr>
                </c15:leaderLines>
              </c:ext>
            </c:extLst>
          </c:dLbls>
          <c:cat>
            <c:numRef>
              <c:f>'2008-2015'!$C$87:$J$87</c:f>
              <c:numCache>
                <c:formatCode>General</c:formatCode>
                <c:ptCount val="8"/>
                <c:pt idx="0">
                  <c:v>2008</c:v>
                </c:pt>
                <c:pt idx="1">
                  <c:v>2009</c:v>
                </c:pt>
                <c:pt idx="2">
                  <c:v>2010</c:v>
                </c:pt>
                <c:pt idx="3">
                  <c:v>2011</c:v>
                </c:pt>
                <c:pt idx="4">
                  <c:v>2012</c:v>
                </c:pt>
                <c:pt idx="5">
                  <c:v>2013</c:v>
                </c:pt>
                <c:pt idx="6">
                  <c:v>2014</c:v>
                </c:pt>
                <c:pt idx="7">
                  <c:v>2015</c:v>
                </c:pt>
              </c:numCache>
            </c:numRef>
          </c:cat>
          <c:val>
            <c:numRef>
              <c:f>'2008-2015'!$C$94:$J$94</c:f>
              <c:numCache>
                <c:formatCode>General</c:formatCode>
                <c:ptCount val="8"/>
                <c:pt idx="0" c:formatCode="General">
                  <c:v>35</c:v>
                </c:pt>
                <c:pt idx="1" c:formatCode="General">
                  <c:v>36</c:v>
                </c:pt>
                <c:pt idx="2" c:formatCode="General">
                  <c:v>38</c:v>
                </c:pt>
                <c:pt idx="3" c:formatCode="General">
                  <c:v>27</c:v>
                </c:pt>
                <c:pt idx="4" c:formatCode="General">
                  <c:v>32</c:v>
                </c:pt>
                <c:pt idx="5" c:formatCode="General">
                  <c:v>30</c:v>
                </c:pt>
                <c:pt idx="6" c:formatCode="General">
                  <c:v>31</c:v>
                </c:pt>
                <c:pt idx="7" c:formatCode="General">
                  <c:v>33</c:v>
                </c:pt>
              </c:numCache>
            </c:numRef>
          </c:val>
        </c:ser>
        <c:dLbls>
          <c:dLblPos val="outEnd"/>
          <c:showLegendKey val="0"/>
          <c:showVal val="0"/>
          <c:showCatName val="0"/>
          <c:showSerName val="0"/>
          <c:showPercent val="0"/>
          <c:showBubbleSize val="0"/>
        </c:dLbls>
        <c:gapWidth val="75"/>
        <c:overlap val="40"/>
        <c:axId val="256583168"/>
        <c:axId val="256584704"/>
      </c:barChart>
      <c:catAx>
        <c:axId val="256583168"/>
        <c:scaling>
          <c:orientation val="minMax"/>
        </c:scaling>
        <c:delete val="0"/>
        <c:axPos val="b"/>
        <c:numFmt formatCode="General" sourceLinked="1"/>
        <c:majorTickMark val="none"/>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56584704"/>
        <c:crosses val="autoZero"/>
        <c:auto val="1"/>
        <c:lblAlgn val="ctr"/>
        <c:lblOffset val="100"/>
        <c:tickMarkSkip val="1"/>
        <c:noMultiLvlLbl val="0"/>
      </c:catAx>
      <c:valAx>
        <c:axId val="256584704"/>
        <c:scaling>
          <c:orientation val="minMax"/>
        </c:scaling>
        <c:delete val="0"/>
        <c:axPos val="l"/>
        <c:majorGridlines>
          <c:spPr>
            <a:noFill/>
            <a:ln>
              <a:solidFill>
                <a:schemeClr val="tx1">
                  <a:lumMod val="50000"/>
                  <a:lumOff val="50000"/>
                </a:schemeClr>
              </a:solidFill>
            </a:ln>
            <a:effectLst/>
          </c:spPr>
        </c:majorGridlines>
        <c:numFmt formatCode="General" sourceLinked="1"/>
        <c:majorTickMark val="none"/>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56583168"/>
        <c:crosses val="autoZero"/>
        <c:crossBetween val="between"/>
      </c:valAx>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12B6C25-C1D6-4094-A350-5BF81129B79D}" type="doc">
      <dgm:prSet loTypeId="urn:microsoft.com/office/officeart/2005/8/layout/vList6" loCatId="list" qsTypeId="urn:microsoft.com/office/officeart/2005/8/quickstyle/simple2" qsCatId="simple" csTypeId="urn:microsoft.com/office/officeart/2005/8/colors/accent2_1" csCatId="accent2" phldr="1"/>
      <dgm:spPr/>
      <dgm:t>
        <a:bodyPr/>
        <a:lstStyle/>
        <a:p>
          <a:endParaRPr lang="zh-CN" altLang="en-US"/>
        </a:p>
      </dgm:t>
    </dgm:pt>
    <dgm:pt modelId="{DB0C0F4F-6C84-42A0-9ED3-C8BECB278121}">
      <dgm:prSet phldrT="[文本]" custT="1"/>
      <dgm:spPr>
        <a:ln>
          <a:solidFill>
            <a:schemeClr val="accent2">
              <a:shade val="80000"/>
              <a:hueOff val="0"/>
              <a:satOff val="0"/>
              <a:lumOff val="0"/>
              <a:alpha val="65000"/>
            </a:schemeClr>
          </a:solidFill>
        </a:ln>
        <a:effectLst>
          <a:innerShdw blurRad="63500" dist="50800" dir="13500000">
            <a:srgbClr val="C00000">
              <a:alpha val="50000"/>
            </a:srgbClr>
          </a:innerShdw>
        </a:effectLst>
      </dgm:spPr>
      <dgm:t>
        <a:bodyPr/>
        <a:lstStyle/>
        <a:p>
          <a:r>
            <a:rPr lang="zh-CN" altLang="en-US" sz="1200" b="1">
              <a:latin typeface="Times New Roman" pitchFamily="18" charset="0"/>
              <a:cs typeface="Times New Roman" pitchFamily="18" charset="0"/>
            </a:rPr>
            <a:t>提高公共管理能力</a:t>
          </a:r>
          <a:r>
            <a:rPr lang="en-US" altLang="zh-CN" sz="1200" b="1">
              <a:latin typeface="Times New Roman" pitchFamily="18" charset="0"/>
              <a:cs typeface="Times New Roman" pitchFamily="18" charset="0"/>
            </a:rPr>
            <a:t> </a:t>
          </a:r>
          <a:endParaRPr lang="zh-CN" altLang="en-US" sz="1200" b="1">
            <a:latin typeface="Times New Roman" pitchFamily="18" charset="0"/>
            <a:cs typeface="Times New Roman" pitchFamily="18" charset="0"/>
          </a:endParaRPr>
        </a:p>
      </dgm:t>
    </dgm:pt>
    <dgm:pt modelId="{D15AE4D5-185A-4440-AFA7-B705A0988561}" type="parTrans" cxnId="{5AF4F8B2-667F-4EA5-A746-305CE27786C9}">
      <dgm:prSet/>
      <dgm:spPr/>
      <dgm:t>
        <a:bodyPr/>
        <a:lstStyle/>
        <a:p>
          <a:endParaRPr lang="zh-CN" altLang="en-US"/>
        </a:p>
      </dgm:t>
    </dgm:pt>
    <dgm:pt modelId="{2342E0B3-5F1E-40AA-B915-4E9B5D310B39}" type="sibTrans" cxnId="{5AF4F8B2-667F-4EA5-A746-305CE27786C9}">
      <dgm:prSet/>
      <dgm:spPr/>
      <dgm:t>
        <a:bodyPr/>
        <a:lstStyle/>
        <a:p>
          <a:endParaRPr lang="zh-CN" altLang="en-US"/>
        </a:p>
      </dgm:t>
    </dgm:pt>
    <dgm:pt modelId="{154CB639-DF76-4269-8A6D-E283B5EE0F5A}">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zh-CN" altLang="en-US" sz="1000">
              <a:latin typeface="Times New Roman" pitchFamily="18" charset="0"/>
              <a:cs typeface="Times New Roman" pitchFamily="18" charset="0"/>
            </a:rPr>
            <a:t>设计完善的专业课</a:t>
          </a:r>
        </a:p>
      </dgm:t>
    </dgm:pt>
    <dgm:pt modelId="{208A1383-07CD-43EE-B85C-DD0772EDDDAF}" type="parTrans" cxnId="{90825188-AEF5-428B-BD38-98B7068695C6}">
      <dgm:prSet/>
      <dgm:spPr/>
      <dgm:t>
        <a:bodyPr/>
        <a:lstStyle/>
        <a:p>
          <a:endParaRPr lang="zh-CN" altLang="en-US"/>
        </a:p>
      </dgm:t>
    </dgm:pt>
    <dgm:pt modelId="{406CB128-3743-43D3-B25E-F2E34C2D77F5}" type="sibTrans" cxnId="{90825188-AEF5-428B-BD38-98B7068695C6}">
      <dgm:prSet/>
      <dgm:spPr/>
      <dgm:t>
        <a:bodyPr/>
        <a:lstStyle/>
        <a:p>
          <a:endParaRPr lang="zh-CN" altLang="en-US"/>
        </a:p>
      </dgm:t>
    </dgm:pt>
    <dgm:pt modelId="{4E0C1FA2-8C16-4356-AC3A-364628474282}">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zh-CN" altLang="en-US" sz="1000">
              <a:latin typeface="Times New Roman" pitchFamily="18" charset="0"/>
              <a:cs typeface="Times New Roman" pitchFamily="18" charset="0"/>
            </a:rPr>
            <a:t>与知名教授和业内专家自由交流</a:t>
          </a:r>
        </a:p>
      </dgm:t>
    </dgm:pt>
    <dgm:pt modelId="{3187A882-2E6A-467F-8DFD-20D6B4905BF2}" type="parTrans" cxnId="{85F0A1B7-81D7-4030-A4B1-C965B4259627}">
      <dgm:prSet/>
      <dgm:spPr/>
      <dgm:t>
        <a:bodyPr/>
        <a:lstStyle/>
        <a:p>
          <a:endParaRPr lang="zh-CN" altLang="en-US"/>
        </a:p>
      </dgm:t>
    </dgm:pt>
    <dgm:pt modelId="{29305707-0DFB-4ADB-9BB9-92B3CFE34FE4}" type="sibTrans" cxnId="{85F0A1B7-81D7-4030-A4B1-C965B4259627}">
      <dgm:prSet/>
      <dgm:spPr/>
      <dgm:t>
        <a:bodyPr/>
        <a:lstStyle/>
        <a:p>
          <a:endParaRPr lang="zh-CN" altLang="en-US"/>
        </a:p>
      </dgm:t>
    </dgm:pt>
    <dgm:pt modelId="{C9FBB8EB-6E31-4875-88C1-96D1ED7D6869}">
      <dgm:prSet phldrT="[文本]" custT="1"/>
      <dgm:spPr>
        <a:ln>
          <a:solidFill>
            <a:schemeClr val="accent2">
              <a:shade val="80000"/>
              <a:hueOff val="0"/>
              <a:satOff val="0"/>
              <a:lumOff val="0"/>
              <a:alpha val="65000"/>
            </a:schemeClr>
          </a:solidFill>
        </a:ln>
        <a:effectLst>
          <a:innerShdw blurRad="63500" dist="50800" dir="13500000">
            <a:srgbClr val="C00000">
              <a:alpha val="50000"/>
            </a:srgbClr>
          </a:innerShdw>
        </a:effectLst>
      </dgm:spPr>
      <dgm:t>
        <a:bodyPr/>
        <a:lstStyle/>
        <a:p>
          <a:r>
            <a:rPr lang="zh-CN" altLang="en-US" sz="1200" b="1">
              <a:latin typeface="Times New Roman" pitchFamily="18" charset="0"/>
              <a:cs typeface="Times New Roman" pitchFamily="18" charset="0"/>
            </a:rPr>
            <a:t>加深中国了解</a:t>
          </a:r>
        </a:p>
      </dgm:t>
    </dgm:pt>
    <dgm:pt modelId="{331D80E4-85FC-4202-A14A-8DE5C76C0602}" type="parTrans" cxnId="{9FA3479F-9C8F-4F1A-93AC-6D3A141236E3}">
      <dgm:prSet/>
      <dgm:spPr/>
      <dgm:t>
        <a:bodyPr/>
        <a:lstStyle/>
        <a:p>
          <a:endParaRPr lang="zh-CN" altLang="en-US"/>
        </a:p>
      </dgm:t>
    </dgm:pt>
    <dgm:pt modelId="{7588D2B1-33DA-4287-88A4-2F519D8F1229}" type="sibTrans" cxnId="{9FA3479F-9C8F-4F1A-93AC-6D3A141236E3}">
      <dgm:prSet/>
      <dgm:spPr/>
      <dgm:t>
        <a:bodyPr/>
        <a:lstStyle/>
        <a:p>
          <a:endParaRPr lang="zh-CN" altLang="en-US"/>
        </a:p>
      </dgm:t>
    </dgm:pt>
    <dgm:pt modelId="{97CBFC0E-6CEF-4652-B0D9-785FE43B3BE1}">
      <dgm:prSet phldrT="[文本]" custT="1"/>
      <dgm:spPr>
        <a:ln>
          <a:solidFill>
            <a:schemeClr val="accent2">
              <a:shade val="80000"/>
              <a:hueOff val="0"/>
              <a:satOff val="0"/>
              <a:lumOff val="0"/>
              <a:alpha val="65000"/>
            </a:schemeClr>
          </a:solidFill>
        </a:ln>
        <a:effectLst>
          <a:innerShdw blurRad="63500" dist="50800" dir="13500000">
            <a:srgbClr val="C00000">
              <a:alpha val="50000"/>
            </a:srgbClr>
          </a:innerShdw>
        </a:effectLst>
      </dgm:spPr>
      <dgm:t>
        <a:bodyPr/>
        <a:lstStyle/>
        <a:p>
          <a:r>
            <a:rPr lang="zh-CN" altLang="en-US" sz="1200" b="1">
              <a:latin typeface="Times New Roman" pitchFamily="18" charset="0"/>
              <a:cs typeface="Times New Roman" pitchFamily="18" charset="0"/>
            </a:rPr>
            <a:t>扩大社交网络</a:t>
          </a:r>
        </a:p>
      </dgm:t>
    </dgm:pt>
    <dgm:pt modelId="{21E2133C-B789-4A4B-AA76-1AB9ACBCC6B4}" type="parTrans" cxnId="{C088948E-0AD3-4377-B6EF-2D29D7D6B2B4}">
      <dgm:prSet/>
      <dgm:spPr/>
      <dgm:t>
        <a:bodyPr/>
        <a:lstStyle/>
        <a:p>
          <a:endParaRPr lang="zh-CN" altLang="en-US"/>
        </a:p>
      </dgm:t>
    </dgm:pt>
    <dgm:pt modelId="{B32E72AF-ACE2-49C7-8C8F-57147C65E2FB}" type="sibTrans" cxnId="{C088948E-0AD3-4377-B6EF-2D29D7D6B2B4}">
      <dgm:prSet/>
      <dgm:spPr/>
      <dgm:t>
        <a:bodyPr/>
        <a:lstStyle/>
        <a:p>
          <a:endParaRPr lang="zh-CN" altLang="en-US"/>
        </a:p>
      </dgm:t>
    </dgm:pt>
    <dgm:pt modelId="{8716B927-CA49-4CAC-958B-1A2FC84F25D9}">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zh-CN" altLang="en-US" sz="1000">
              <a:latin typeface="Times New Roman" pitchFamily="18" charset="0"/>
              <a:cs typeface="Times New Roman" pitchFamily="18" charset="0"/>
            </a:rPr>
            <a:t>一周社会实践</a:t>
          </a:r>
        </a:p>
      </dgm:t>
    </dgm:pt>
    <dgm:pt modelId="{B0C938D7-836F-46F1-B6B5-D1F915DF0E18}" type="parTrans" cxnId="{B44C60CA-60D4-4D41-A5C6-1B88D7DAB6F4}">
      <dgm:prSet/>
      <dgm:spPr/>
      <dgm:t>
        <a:bodyPr/>
        <a:lstStyle/>
        <a:p>
          <a:endParaRPr lang="zh-CN" altLang="en-US"/>
        </a:p>
      </dgm:t>
    </dgm:pt>
    <dgm:pt modelId="{D12012DA-CA28-4DB3-84B3-476126CFCD50}" type="sibTrans" cxnId="{B44C60CA-60D4-4D41-A5C6-1B88D7DAB6F4}">
      <dgm:prSet/>
      <dgm:spPr/>
      <dgm:t>
        <a:bodyPr/>
        <a:lstStyle/>
        <a:p>
          <a:endParaRPr lang="zh-CN" altLang="en-US"/>
        </a:p>
      </dgm:t>
    </dgm:pt>
    <dgm:pt modelId="{02BC37F9-44CA-44D7-832F-0B5D8E02D723}">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zh-CN" altLang="en-US" sz="1000">
              <a:latin typeface="Times New Roman" pitchFamily="18" charset="0"/>
              <a:cs typeface="Times New Roman" pitchFamily="18" charset="0"/>
            </a:rPr>
            <a:t>参观著名景点、京郊农村和发展区等</a:t>
          </a:r>
        </a:p>
      </dgm:t>
    </dgm:pt>
    <dgm:pt modelId="{05D62778-6757-434E-B850-971F08E1A82E}" type="parTrans" cxnId="{CB1F4F49-097B-47CA-B4B0-5C618B2CD632}">
      <dgm:prSet/>
      <dgm:spPr/>
      <dgm:t>
        <a:bodyPr/>
        <a:lstStyle/>
        <a:p>
          <a:endParaRPr lang="zh-CN" altLang="en-US"/>
        </a:p>
      </dgm:t>
    </dgm:pt>
    <dgm:pt modelId="{174CAB2B-CBAF-4ACD-BD5B-0B8BE2A5AF5B}" type="sibTrans" cxnId="{CB1F4F49-097B-47CA-B4B0-5C618B2CD632}">
      <dgm:prSet/>
      <dgm:spPr/>
      <dgm:t>
        <a:bodyPr/>
        <a:lstStyle/>
        <a:p>
          <a:endParaRPr lang="zh-CN" altLang="en-US"/>
        </a:p>
      </dgm:t>
    </dgm:pt>
    <dgm:pt modelId="{13234470-8C62-45A2-B6C8-FDFCC3C38EAE}">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endParaRPr lang="zh-CN" altLang="en-US" sz="1000">
            <a:latin typeface="Times New Roman" pitchFamily="18" charset="0"/>
            <a:cs typeface="Times New Roman" pitchFamily="18" charset="0"/>
          </a:endParaRPr>
        </a:p>
      </dgm:t>
    </dgm:pt>
    <dgm:pt modelId="{5067825E-05C9-4D55-8AEB-36A82F742DF6}" type="parTrans" cxnId="{86684935-D3C3-4813-92DB-C24DEC879922}">
      <dgm:prSet/>
      <dgm:spPr/>
      <dgm:t>
        <a:bodyPr/>
        <a:lstStyle/>
        <a:p>
          <a:endParaRPr lang="zh-CN" altLang="en-US"/>
        </a:p>
      </dgm:t>
    </dgm:pt>
    <dgm:pt modelId="{763666A7-28F4-4FED-B7BE-65B8F5942267}" type="sibTrans" cxnId="{86684935-D3C3-4813-92DB-C24DEC879922}">
      <dgm:prSet/>
      <dgm:spPr/>
      <dgm:t>
        <a:bodyPr/>
        <a:lstStyle/>
        <a:p>
          <a:endParaRPr lang="zh-CN" altLang="en-US"/>
        </a:p>
      </dgm:t>
    </dgm:pt>
    <dgm:pt modelId="{7A67F726-CA3F-43EC-AEB3-5A893DD74A8B}">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zh-CN" altLang="en-US" sz="1000">
              <a:latin typeface="Times New Roman" pitchFamily="18" charset="0"/>
              <a:cs typeface="Times New Roman" pitchFamily="18" charset="0"/>
            </a:rPr>
            <a:t>与校友建立联络</a:t>
          </a:r>
        </a:p>
      </dgm:t>
    </dgm:pt>
    <dgm:pt modelId="{9D9104C2-2438-46C3-9740-760931B83FEA}" type="parTrans" cxnId="{E07EA583-00E3-467B-B2BB-97B4ACE3C994}">
      <dgm:prSet/>
      <dgm:spPr/>
      <dgm:t>
        <a:bodyPr/>
        <a:lstStyle/>
        <a:p>
          <a:endParaRPr lang="zh-CN" altLang="en-US"/>
        </a:p>
      </dgm:t>
    </dgm:pt>
    <dgm:pt modelId="{2271BA67-6847-4DFB-BBF4-7F62B0763685}" type="sibTrans" cxnId="{E07EA583-00E3-467B-B2BB-97B4ACE3C994}">
      <dgm:prSet/>
      <dgm:spPr/>
      <dgm:t>
        <a:bodyPr/>
        <a:lstStyle/>
        <a:p>
          <a:endParaRPr lang="zh-CN" altLang="en-US"/>
        </a:p>
      </dgm:t>
    </dgm:pt>
    <dgm:pt modelId="{835C8280-D748-4B77-BF28-E00FE40A23AE}">
      <dgm:prSet phldrT="[文本]"/>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endParaRPr lang="zh-CN" altLang="en-US" sz="900">
            <a:latin typeface="Times New Roman" pitchFamily="18" charset="0"/>
            <a:cs typeface="Times New Roman" pitchFamily="18" charset="0"/>
          </a:endParaRPr>
        </a:p>
      </dgm:t>
    </dgm:pt>
    <dgm:pt modelId="{16E7CE3F-8E56-4B96-AB6A-2E731E3CDA5C}" type="parTrans" cxnId="{A529A56A-FCD4-49B9-95C6-764AB9FB49D7}">
      <dgm:prSet/>
      <dgm:spPr/>
      <dgm:t>
        <a:bodyPr/>
        <a:lstStyle/>
        <a:p>
          <a:endParaRPr lang="zh-CN" altLang="en-US"/>
        </a:p>
      </dgm:t>
    </dgm:pt>
    <dgm:pt modelId="{4A9B9B9C-657E-43AB-AC1B-DC50AAF5FBD3}" type="sibTrans" cxnId="{A529A56A-FCD4-49B9-95C6-764AB9FB49D7}">
      <dgm:prSet/>
      <dgm:spPr/>
      <dgm:t>
        <a:bodyPr/>
        <a:lstStyle/>
        <a:p>
          <a:endParaRPr lang="zh-CN" altLang="en-US"/>
        </a:p>
      </dgm:t>
    </dgm:pt>
    <dgm:pt modelId="{3B0BEBFC-A5D8-40AD-AD3B-8276FD23F6FE}">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endParaRPr lang="zh-CN" altLang="en-US" sz="1000">
            <a:latin typeface="Times New Roman" pitchFamily="18" charset="0"/>
            <a:cs typeface="Times New Roman" pitchFamily="18" charset="0"/>
          </a:endParaRPr>
        </a:p>
      </dgm:t>
    </dgm:pt>
    <dgm:pt modelId="{722789A0-AACE-4E66-88D9-10FBFE87D691}" type="parTrans" cxnId="{352472EF-740C-4DD1-AB0F-B2DED9D3F8B5}">
      <dgm:prSet/>
      <dgm:spPr/>
    </dgm:pt>
    <dgm:pt modelId="{BDF50697-1DA4-43B1-9AF0-60B26DD27594}" type="sibTrans" cxnId="{352472EF-740C-4DD1-AB0F-B2DED9D3F8B5}">
      <dgm:prSet/>
      <dgm:spPr/>
    </dgm:pt>
    <dgm:pt modelId="{A84A7C66-88D9-4E92-AD36-CFC4F27DF3B1}">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zh-CN" altLang="en-US" sz="1000">
              <a:latin typeface="Times New Roman" pitchFamily="18" charset="0"/>
              <a:cs typeface="Times New Roman" pitchFamily="18" charset="0"/>
            </a:rPr>
            <a:t>众多与中国相关的选修课供学生自由选择（社会、文化、法律、外交等）</a:t>
          </a:r>
        </a:p>
      </dgm:t>
    </dgm:pt>
    <dgm:pt modelId="{73F70D38-B533-4CCB-ACD0-67E6E636ACC7}" type="parTrans" cxnId="{2BA07189-C096-4300-BCCD-1BDDD5FC011D}">
      <dgm:prSet/>
      <dgm:spPr/>
    </dgm:pt>
    <dgm:pt modelId="{702BFECF-AC5E-4282-9E60-C5BA85302BD4}" type="sibTrans" cxnId="{2BA07189-C096-4300-BCCD-1BDDD5FC011D}">
      <dgm:prSet/>
      <dgm:spPr/>
    </dgm:pt>
    <dgm:pt modelId="{EFB02282-0025-4EE8-8F13-7A62D6BD7E35}">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zh-CN" altLang="en-US" sz="1000">
              <a:latin typeface="Times New Roman" pitchFamily="18" charset="0"/>
              <a:cs typeface="Times New Roman" pitchFamily="18" charset="0"/>
            </a:rPr>
            <a:t>与高水平的嘉宾和客座教授建立学术联系</a:t>
          </a:r>
        </a:p>
      </dgm:t>
    </dgm:pt>
    <dgm:pt modelId="{258E193B-BDD6-4B58-B197-68C6CC98A55D}" type="parTrans" cxnId="{DE045A67-F475-4CC7-AD88-5287F9767D4F}">
      <dgm:prSet/>
      <dgm:spPr/>
    </dgm:pt>
    <dgm:pt modelId="{305F86DA-CE69-47CB-B71C-10556F33538D}" type="sibTrans" cxnId="{DE045A67-F475-4CC7-AD88-5287F9767D4F}">
      <dgm:prSet/>
      <dgm:spPr/>
    </dgm:pt>
    <dgm:pt modelId="{6FEB0CE0-3B7C-4159-B75B-96DEB190854D}" type="pres">
      <dgm:prSet presAssocID="{512B6C25-C1D6-4094-A350-5BF81129B79D}" presName="Name0" presStyleCnt="0">
        <dgm:presLayoutVars>
          <dgm:dir/>
          <dgm:animLvl val="lvl"/>
          <dgm:resizeHandles/>
        </dgm:presLayoutVars>
      </dgm:prSet>
      <dgm:spPr/>
      <dgm:t>
        <a:bodyPr/>
        <a:lstStyle/>
        <a:p>
          <a:endParaRPr lang="zh-CN" altLang="en-US"/>
        </a:p>
      </dgm:t>
    </dgm:pt>
    <dgm:pt modelId="{5D9FC65A-B3A6-440F-A0E7-493388F2C5A6}" type="pres">
      <dgm:prSet presAssocID="{DB0C0F4F-6C84-42A0-9ED3-C8BECB278121}" presName="linNode" presStyleCnt="0"/>
      <dgm:spPr/>
    </dgm:pt>
    <dgm:pt modelId="{8C567585-5892-4006-982D-EB306D1E736F}" type="pres">
      <dgm:prSet presAssocID="{DB0C0F4F-6C84-42A0-9ED3-C8BECB278121}" presName="parentShp" presStyleLbl="node1" presStyleIdx="0" presStyleCnt="3" custScaleX="84898" custScaleY="82558">
        <dgm:presLayoutVars>
          <dgm:bulletEnabled val="1"/>
        </dgm:presLayoutVars>
      </dgm:prSet>
      <dgm:spPr/>
      <dgm:t>
        <a:bodyPr/>
        <a:lstStyle/>
        <a:p>
          <a:endParaRPr lang="zh-CN" altLang="en-US"/>
        </a:p>
      </dgm:t>
    </dgm:pt>
    <dgm:pt modelId="{79E3F616-71C1-466A-B41D-A9E36D857EA9}" type="pres">
      <dgm:prSet presAssocID="{DB0C0F4F-6C84-42A0-9ED3-C8BECB278121}" presName="childShp" presStyleLbl="bgAccFollowNode1" presStyleIdx="0" presStyleCnt="3" custScaleY="100269">
        <dgm:presLayoutVars>
          <dgm:bulletEnabled val="1"/>
        </dgm:presLayoutVars>
      </dgm:prSet>
      <dgm:spPr/>
      <dgm:t>
        <a:bodyPr/>
        <a:lstStyle/>
        <a:p>
          <a:endParaRPr lang="zh-CN" altLang="en-US"/>
        </a:p>
      </dgm:t>
    </dgm:pt>
    <dgm:pt modelId="{AC9716C5-9E3A-4CC3-B41B-BD18BDD18EE9}" type="pres">
      <dgm:prSet presAssocID="{2342E0B3-5F1E-40AA-B915-4E9B5D310B39}" presName="spacing" presStyleCnt="0"/>
      <dgm:spPr/>
    </dgm:pt>
    <dgm:pt modelId="{59808046-B5A6-4DA7-999B-FAE8DD4B7D1C}" type="pres">
      <dgm:prSet presAssocID="{C9FBB8EB-6E31-4875-88C1-96D1ED7D6869}" presName="linNode" presStyleCnt="0"/>
      <dgm:spPr/>
    </dgm:pt>
    <dgm:pt modelId="{A92C2955-D026-4B0D-B425-2E292787616B}" type="pres">
      <dgm:prSet presAssocID="{C9FBB8EB-6E31-4875-88C1-96D1ED7D6869}" presName="parentShp" presStyleLbl="node1" presStyleIdx="1" presStyleCnt="3" custScaleX="86786" custScaleY="78689">
        <dgm:presLayoutVars>
          <dgm:bulletEnabled val="1"/>
        </dgm:presLayoutVars>
      </dgm:prSet>
      <dgm:spPr/>
      <dgm:t>
        <a:bodyPr/>
        <a:lstStyle/>
        <a:p>
          <a:endParaRPr lang="zh-CN" altLang="en-US"/>
        </a:p>
      </dgm:t>
    </dgm:pt>
    <dgm:pt modelId="{E481116B-DE38-4C18-A8D5-4A90FBA7122F}" type="pres">
      <dgm:prSet presAssocID="{C9FBB8EB-6E31-4875-88C1-96D1ED7D6869}" presName="childShp" presStyleLbl="bgAccFollowNode1" presStyleIdx="1" presStyleCnt="3" custScaleY="116020" custLinFactNeighborX="-433" custLinFactNeighborY="2098">
        <dgm:presLayoutVars>
          <dgm:bulletEnabled val="1"/>
        </dgm:presLayoutVars>
      </dgm:prSet>
      <dgm:spPr/>
      <dgm:t>
        <a:bodyPr/>
        <a:lstStyle/>
        <a:p>
          <a:endParaRPr lang="zh-CN" altLang="en-US"/>
        </a:p>
      </dgm:t>
    </dgm:pt>
    <dgm:pt modelId="{BF7060EB-8DD4-4DCC-A0A0-5B068117F80B}" type="pres">
      <dgm:prSet presAssocID="{7588D2B1-33DA-4287-88A4-2F519D8F1229}" presName="spacing" presStyleCnt="0"/>
      <dgm:spPr/>
    </dgm:pt>
    <dgm:pt modelId="{EC147C01-A3BE-4242-AD19-CB140F2DFF31}" type="pres">
      <dgm:prSet presAssocID="{97CBFC0E-6CEF-4652-B0D9-785FE43B3BE1}" presName="linNode" presStyleCnt="0"/>
      <dgm:spPr/>
    </dgm:pt>
    <dgm:pt modelId="{F0213DA6-E3D2-4181-B172-3CA8337C6A54}" type="pres">
      <dgm:prSet presAssocID="{97CBFC0E-6CEF-4652-B0D9-785FE43B3BE1}" presName="parentShp" presStyleLbl="node1" presStyleIdx="2" presStyleCnt="3" custScaleX="83074" custScaleY="74164">
        <dgm:presLayoutVars>
          <dgm:bulletEnabled val="1"/>
        </dgm:presLayoutVars>
      </dgm:prSet>
      <dgm:spPr/>
      <dgm:t>
        <a:bodyPr/>
        <a:lstStyle/>
        <a:p>
          <a:endParaRPr lang="zh-CN" altLang="en-US"/>
        </a:p>
      </dgm:t>
    </dgm:pt>
    <dgm:pt modelId="{97D20DC7-81FB-43E4-B304-FB355E468A84}" type="pres">
      <dgm:prSet presAssocID="{97CBFC0E-6CEF-4652-B0D9-785FE43B3BE1}" presName="childShp" presStyleLbl="bgAccFollowNode1" presStyleIdx="2" presStyleCnt="3">
        <dgm:presLayoutVars>
          <dgm:bulletEnabled val="1"/>
        </dgm:presLayoutVars>
      </dgm:prSet>
      <dgm:spPr/>
      <dgm:t>
        <a:bodyPr/>
        <a:lstStyle/>
        <a:p>
          <a:endParaRPr lang="zh-CN" altLang="en-US"/>
        </a:p>
      </dgm:t>
    </dgm:pt>
  </dgm:ptLst>
  <dgm:cxnLst>
    <dgm:cxn modelId="{85F0A1B7-81D7-4030-A4B1-C965B4259627}" srcId="{DB0C0F4F-6C84-42A0-9ED3-C8BECB278121}" destId="{4E0C1FA2-8C16-4356-AC3A-364628474282}" srcOrd="2" destOrd="0" parTransId="{3187A882-2E6A-467F-8DFD-20D6B4905BF2}" sibTransId="{29305707-0DFB-4ADB-9BB9-92B3CFE34FE4}"/>
    <dgm:cxn modelId="{DA133F32-D71D-41BD-A3F5-7F23908D49B8}" type="presOf" srcId="{13234470-8C62-45A2-B6C8-FDFCC3C38EAE}" destId="{97D20DC7-81FB-43E4-B304-FB355E468A84}" srcOrd="0" destOrd="0" presId="urn:microsoft.com/office/officeart/2005/8/layout/vList6"/>
    <dgm:cxn modelId="{AC570914-48F2-45CB-9A21-47B6AA46B2E7}" type="presOf" srcId="{8716B927-CA49-4CAC-958B-1A2FC84F25D9}" destId="{E481116B-DE38-4C18-A8D5-4A90FBA7122F}" srcOrd="0" destOrd="1" presId="urn:microsoft.com/office/officeart/2005/8/layout/vList6"/>
    <dgm:cxn modelId="{4D110F9E-86D7-4206-8863-F2ACEDE3DC19}" type="presOf" srcId="{3B0BEBFC-A5D8-40AD-AD3B-8276FD23F6FE}" destId="{79E3F616-71C1-466A-B41D-A9E36D857EA9}" srcOrd="0" destOrd="0" presId="urn:microsoft.com/office/officeart/2005/8/layout/vList6"/>
    <dgm:cxn modelId="{A1958775-C085-4B07-B374-0C53B5F068FA}" type="presOf" srcId="{835C8280-D748-4B77-BF28-E00FE40A23AE}" destId="{97D20DC7-81FB-43E4-B304-FB355E468A84}" srcOrd="0" destOrd="3" presId="urn:microsoft.com/office/officeart/2005/8/layout/vList6"/>
    <dgm:cxn modelId="{ED14DFB3-770B-48A9-8682-2C5B5F10CDD0}" type="presOf" srcId="{C9FBB8EB-6E31-4875-88C1-96D1ED7D6869}" destId="{A92C2955-D026-4B0D-B425-2E292787616B}" srcOrd="0" destOrd="0" presId="urn:microsoft.com/office/officeart/2005/8/layout/vList6"/>
    <dgm:cxn modelId="{86684935-D3C3-4813-92DB-C24DEC879922}" srcId="{97CBFC0E-6CEF-4652-B0D9-785FE43B3BE1}" destId="{13234470-8C62-45A2-B6C8-FDFCC3C38EAE}" srcOrd="0" destOrd="0" parTransId="{5067825E-05C9-4D55-8AEB-36A82F742DF6}" sibTransId="{763666A7-28F4-4FED-B7BE-65B8F5942267}"/>
    <dgm:cxn modelId="{5AF4F8B2-667F-4EA5-A746-305CE27786C9}" srcId="{512B6C25-C1D6-4094-A350-5BF81129B79D}" destId="{DB0C0F4F-6C84-42A0-9ED3-C8BECB278121}" srcOrd="0" destOrd="0" parTransId="{D15AE4D5-185A-4440-AFA7-B705A0988561}" sibTransId="{2342E0B3-5F1E-40AA-B915-4E9B5D310B39}"/>
    <dgm:cxn modelId="{352472EF-740C-4DD1-AB0F-B2DED9D3F8B5}" srcId="{DB0C0F4F-6C84-42A0-9ED3-C8BECB278121}" destId="{3B0BEBFC-A5D8-40AD-AD3B-8276FD23F6FE}" srcOrd="0" destOrd="0" parTransId="{722789A0-AACE-4E66-88D9-10FBFE87D691}" sibTransId="{BDF50697-1DA4-43B1-9AF0-60B26DD27594}"/>
    <dgm:cxn modelId="{A283413F-7C40-4F47-B324-9CEE71100D9D}" type="presOf" srcId="{7A67F726-CA3F-43EC-AEB3-5A893DD74A8B}" destId="{97D20DC7-81FB-43E4-B304-FB355E468A84}" srcOrd="0" destOrd="2" presId="urn:microsoft.com/office/officeart/2005/8/layout/vList6"/>
    <dgm:cxn modelId="{E07EA583-00E3-467B-B2BB-97B4ACE3C994}" srcId="{97CBFC0E-6CEF-4652-B0D9-785FE43B3BE1}" destId="{7A67F726-CA3F-43EC-AEB3-5A893DD74A8B}" srcOrd="2" destOrd="0" parTransId="{9D9104C2-2438-46C3-9740-760931B83FEA}" sibTransId="{2271BA67-6847-4DFB-BBF4-7F62B0763685}"/>
    <dgm:cxn modelId="{C088948E-0AD3-4377-B6EF-2D29D7D6B2B4}" srcId="{512B6C25-C1D6-4094-A350-5BF81129B79D}" destId="{97CBFC0E-6CEF-4652-B0D9-785FE43B3BE1}" srcOrd="2" destOrd="0" parTransId="{21E2133C-B789-4A4B-AA76-1AB9ACBCC6B4}" sibTransId="{B32E72AF-ACE2-49C7-8C8F-57147C65E2FB}"/>
    <dgm:cxn modelId="{A529A56A-FCD4-49B9-95C6-764AB9FB49D7}" srcId="{97CBFC0E-6CEF-4652-B0D9-785FE43B3BE1}" destId="{835C8280-D748-4B77-BF28-E00FE40A23AE}" srcOrd="3" destOrd="0" parTransId="{16E7CE3F-8E56-4B96-AB6A-2E731E3CDA5C}" sibTransId="{4A9B9B9C-657E-43AB-AC1B-DC50AAF5FBD3}"/>
    <dgm:cxn modelId="{CDDF5236-874D-47A0-BA60-EFAAF67E88BB}" type="presOf" srcId="{97CBFC0E-6CEF-4652-B0D9-785FE43B3BE1}" destId="{F0213DA6-E3D2-4181-B172-3CA8337C6A54}" srcOrd="0" destOrd="0" presId="urn:microsoft.com/office/officeart/2005/8/layout/vList6"/>
    <dgm:cxn modelId="{EE535EA4-A3CE-4951-AEB5-BC5A4250F83A}" type="presOf" srcId="{4E0C1FA2-8C16-4356-AC3A-364628474282}" destId="{79E3F616-71C1-466A-B41D-A9E36D857EA9}" srcOrd="0" destOrd="2" presId="urn:microsoft.com/office/officeart/2005/8/layout/vList6"/>
    <dgm:cxn modelId="{90825188-AEF5-428B-BD38-98B7068695C6}" srcId="{DB0C0F4F-6C84-42A0-9ED3-C8BECB278121}" destId="{154CB639-DF76-4269-8A6D-E283B5EE0F5A}" srcOrd="1" destOrd="0" parTransId="{208A1383-07CD-43EE-B85C-DD0772EDDDAF}" sibTransId="{406CB128-3743-43D3-B25E-F2E34C2D77F5}"/>
    <dgm:cxn modelId="{09DBAF7E-3834-4C1C-9E56-114637BF972F}" type="presOf" srcId="{512B6C25-C1D6-4094-A350-5BF81129B79D}" destId="{6FEB0CE0-3B7C-4159-B75B-96DEB190854D}" srcOrd="0" destOrd="0" presId="urn:microsoft.com/office/officeart/2005/8/layout/vList6"/>
    <dgm:cxn modelId="{8F8F52F9-2ACF-49A0-A74F-7ADC8BE5E7FB}" type="presOf" srcId="{02BC37F9-44CA-44D7-832F-0B5D8E02D723}" destId="{E481116B-DE38-4C18-A8D5-4A90FBA7122F}" srcOrd="0" destOrd="2" presId="urn:microsoft.com/office/officeart/2005/8/layout/vList6"/>
    <dgm:cxn modelId="{0222AE6A-413C-4839-9CA9-E3E6737D0F75}" type="presOf" srcId="{EFB02282-0025-4EE8-8F13-7A62D6BD7E35}" destId="{97D20DC7-81FB-43E4-B304-FB355E468A84}" srcOrd="0" destOrd="1" presId="urn:microsoft.com/office/officeart/2005/8/layout/vList6"/>
    <dgm:cxn modelId="{9FA3479F-9C8F-4F1A-93AC-6D3A141236E3}" srcId="{512B6C25-C1D6-4094-A350-5BF81129B79D}" destId="{C9FBB8EB-6E31-4875-88C1-96D1ED7D6869}" srcOrd="1" destOrd="0" parTransId="{331D80E4-85FC-4202-A14A-8DE5C76C0602}" sibTransId="{7588D2B1-33DA-4287-88A4-2F519D8F1229}"/>
    <dgm:cxn modelId="{DE045A67-F475-4CC7-AD88-5287F9767D4F}" srcId="{97CBFC0E-6CEF-4652-B0D9-785FE43B3BE1}" destId="{EFB02282-0025-4EE8-8F13-7A62D6BD7E35}" srcOrd="1" destOrd="0" parTransId="{258E193B-BDD6-4B58-B197-68C6CC98A55D}" sibTransId="{305F86DA-CE69-47CB-B71C-10556F33538D}"/>
    <dgm:cxn modelId="{CB1F4F49-097B-47CA-B4B0-5C618B2CD632}" srcId="{C9FBB8EB-6E31-4875-88C1-96D1ED7D6869}" destId="{02BC37F9-44CA-44D7-832F-0B5D8E02D723}" srcOrd="2" destOrd="0" parTransId="{05D62778-6757-434E-B850-971F08E1A82E}" sibTransId="{174CAB2B-CBAF-4ACD-BD5B-0B8BE2A5AF5B}"/>
    <dgm:cxn modelId="{44AED2C3-04D2-4DFE-AE28-8B8D80EA9393}" type="presOf" srcId="{154CB639-DF76-4269-8A6D-E283B5EE0F5A}" destId="{79E3F616-71C1-466A-B41D-A9E36D857EA9}" srcOrd="0" destOrd="1" presId="urn:microsoft.com/office/officeart/2005/8/layout/vList6"/>
    <dgm:cxn modelId="{2BA07189-C096-4300-BCCD-1BDDD5FC011D}" srcId="{C9FBB8EB-6E31-4875-88C1-96D1ED7D6869}" destId="{A84A7C66-88D9-4E92-AD36-CFC4F27DF3B1}" srcOrd="0" destOrd="0" parTransId="{73F70D38-B533-4CCB-ACD0-67E6E636ACC7}" sibTransId="{702BFECF-AC5E-4282-9E60-C5BA85302BD4}"/>
    <dgm:cxn modelId="{8E2A832E-3DDC-4ACF-AC54-CB8A15406305}" type="presOf" srcId="{DB0C0F4F-6C84-42A0-9ED3-C8BECB278121}" destId="{8C567585-5892-4006-982D-EB306D1E736F}" srcOrd="0" destOrd="0" presId="urn:microsoft.com/office/officeart/2005/8/layout/vList6"/>
    <dgm:cxn modelId="{B44C60CA-60D4-4D41-A5C6-1B88D7DAB6F4}" srcId="{C9FBB8EB-6E31-4875-88C1-96D1ED7D6869}" destId="{8716B927-CA49-4CAC-958B-1A2FC84F25D9}" srcOrd="1" destOrd="0" parTransId="{B0C938D7-836F-46F1-B6B5-D1F915DF0E18}" sibTransId="{D12012DA-CA28-4DB3-84B3-476126CFCD50}"/>
    <dgm:cxn modelId="{4F708B55-600C-4887-96D0-3E57E202A30F}" type="presOf" srcId="{A84A7C66-88D9-4E92-AD36-CFC4F27DF3B1}" destId="{E481116B-DE38-4C18-A8D5-4A90FBA7122F}" srcOrd="0" destOrd="0" presId="urn:microsoft.com/office/officeart/2005/8/layout/vList6"/>
    <dgm:cxn modelId="{3A2375C1-00E0-4E71-BA43-F0651531A43E}" type="presParOf" srcId="{6FEB0CE0-3B7C-4159-B75B-96DEB190854D}" destId="{5D9FC65A-B3A6-440F-A0E7-493388F2C5A6}" srcOrd="0" destOrd="0" presId="urn:microsoft.com/office/officeart/2005/8/layout/vList6"/>
    <dgm:cxn modelId="{1F7370C3-9B1C-4E44-B55C-474BCA73D19C}" type="presParOf" srcId="{5D9FC65A-B3A6-440F-A0E7-493388F2C5A6}" destId="{8C567585-5892-4006-982D-EB306D1E736F}" srcOrd="0" destOrd="0" presId="urn:microsoft.com/office/officeart/2005/8/layout/vList6"/>
    <dgm:cxn modelId="{075F8F7D-B6DA-4849-B3D9-29DABD22CA00}" type="presParOf" srcId="{5D9FC65A-B3A6-440F-A0E7-493388F2C5A6}" destId="{79E3F616-71C1-466A-B41D-A9E36D857EA9}" srcOrd="1" destOrd="0" presId="urn:microsoft.com/office/officeart/2005/8/layout/vList6"/>
    <dgm:cxn modelId="{52684516-3FB3-41B5-A8DC-1A46EAD02622}" type="presParOf" srcId="{6FEB0CE0-3B7C-4159-B75B-96DEB190854D}" destId="{AC9716C5-9E3A-4CC3-B41B-BD18BDD18EE9}" srcOrd="1" destOrd="0" presId="urn:microsoft.com/office/officeart/2005/8/layout/vList6"/>
    <dgm:cxn modelId="{322F12BA-264E-4743-B4D8-C1F6DCD13B0C}" type="presParOf" srcId="{6FEB0CE0-3B7C-4159-B75B-96DEB190854D}" destId="{59808046-B5A6-4DA7-999B-FAE8DD4B7D1C}" srcOrd="2" destOrd="0" presId="urn:microsoft.com/office/officeart/2005/8/layout/vList6"/>
    <dgm:cxn modelId="{BE1ADF28-9C65-415F-8BAA-1DDB3FFE7853}" type="presParOf" srcId="{59808046-B5A6-4DA7-999B-FAE8DD4B7D1C}" destId="{A92C2955-D026-4B0D-B425-2E292787616B}" srcOrd="0" destOrd="0" presId="urn:microsoft.com/office/officeart/2005/8/layout/vList6"/>
    <dgm:cxn modelId="{3B4069DC-8E96-4053-A52A-B0D099B5078E}" type="presParOf" srcId="{59808046-B5A6-4DA7-999B-FAE8DD4B7D1C}" destId="{E481116B-DE38-4C18-A8D5-4A90FBA7122F}" srcOrd="1" destOrd="0" presId="urn:microsoft.com/office/officeart/2005/8/layout/vList6"/>
    <dgm:cxn modelId="{4F0B68E4-7F22-498D-B866-8B2D434F5D97}" type="presParOf" srcId="{6FEB0CE0-3B7C-4159-B75B-96DEB190854D}" destId="{BF7060EB-8DD4-4DCC-A0A0-5B068117F80B}" srcOrd="3" destOrd="0" presId="urn:microsoft.com/office/officeart/2005/8/layout/vList6"/>
    <dgm:cxn modelId="{2A643E1A-9B47-4EA8-8234-4F1067FFCC43}" type="presParOf" srcId="{6FEB0CE0-3B7C-4159-B75B-96DEB190854D}" destId="{EC147C01-A3BE-4242-AD19-CB140F2DFF31}" srcOrd="4" destOrd="0" presId="urn:microsoft.com/office/officeart/2005/8/layout/vList6"/>
    <dgm:cxn modelId="{889B54F4-6CA9-4B68-A517-27EF2064B14F}" type="presParOf" srcId="{EC147C01-A3BE-4242-AD19-CB140F2DFF31}" destId="{F0213DA6-E3D2-4181-B172-3CA8337C6A54}" srcOrd="0" destOrd="0" presId="urn:microsoft.com/office/officeart/2005/8/layout/vList6"/>
    <dgm:cxn modelId="{D408FF54-E273-499C-AF9B-3292AD3FBDD0}" type="presParOf" srcId="{EC147C01-A3BE-4242-AD19-CB140F2DFF31}" destId="{97D20DC7-81FB-43E4-B304-FB355E468A84}" srcOrd="1" destOrd="0" presId="urn:microsoft.com/office/officeart/2005/8/layout/vList6"/>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12B6C25-C1D6-4094-A350-5BF81129B79D}" type="doc">
      <dgm:prSet loTypeId="urn:microsoft.com/office/officeart/2005/8/layout/vList6" loCatId="list" qsTypeId="urn:microsoft.com/office/officeart/2005/8/quickstyle/simple2" qsCatId="simple" csTypeId="urn:microsoft.com/office/officeart/2005/8/colors/accent2_1" csCatId="accent2" phldr="1"/>
      <dgm:spPr/>
      <dgm:t>
        <a:bodyPr/>
        <a:lstStyle/>
        <a:p>
          <a:endParaRPr lang="zh-CN" altLang="en-US"/>
        </a:p>
      </dgm:t>
    </dgm:pt>
    <dgm:pt modelId="{DB0C0F4F-6C84-42A0-9ED3-C8BECB278121}">
      <dgm:prSet phldrT="[文本]" custT="1"/>
      <dgm:spPr>
        <a:ln>
          <a:solidFill>
            <a:schemeClr val="accent2">
              <a:shade val="80000"/>
              <a:hueOff val="0"/>
              <a:satOff val="0"/>
              <a:lumOff val="0"/>
              <a:alpha val="65000"/>
            </a:schemeClr>
          </a:solidFill>
        </a:ln>
        <a:effectLst>
          <a:innerShdw blurRad="63500" dist="50800" dir="13500000">
            <a:srgbClr val="C00000">
              <a:alpha val="50000"/>
            </a:srgbClr>
          </a:innerShdw>
        </a:effectLst>
      </dgm:spPr>
      <dgm:t>
        <a:bodyPr/>
        <a:lstStyle/>
        <a:p>
          <a:pPr algn="ctr"/>
          <a:r>
            <a:rPr lang="en-US" altLang="zh-CN" sz="1200" b="1">
              <a:latin typeface="Times New Roman" pitchFamily="18" charset="0"/>
              <a:ea typeface="Verdana" pitchFamily="34" charset="0"/>
              <a:cs typeface="Times New Roman" pitchFamily="18" charset="0"/>
            </a:rPr>
            <a:t>Improve </a:t>
          </a:r>
          <a:r>
            <a:rPr lang="en-US" sz="1200" b="1">
              <a:latin typeface="Times New Roman" pitchFamily="18" charset="0"/>
              <a:ea typeface="Verdana" pitchFamily="34" charset="0"/>
              <a:cs typeface="Times New Roman" pitchFamily="18" charset="0"/>
            </a:rPr>
            <a:t>Public Administration Capability</a:t>
          </a:r>
          <a:r>
            <a:rPr lang="en-US" altLang="zh-CN" sz="1200" b="1">
              <a:latin typeface="Times New Roman" pitchFamily="18" charset="0"/>
              <a:ea typeface="Verdana" pitchFamily="34" charset="0"/>
              <a:cs typeface="Times New Roman" pitchFamily="18" charset="0"/>
            </a:rPr>
            <a:t> </a:t>
          </a:r>
          <a:endParaRPr lang="zh-CN" altLang="en-US" sz="1200" b="1">
            <a:latin typeface="Times New Roman" pitchFamily="18" charset="0"/>
            <a:cs typeface="Times New Roman" pitchFamily="18" charset="0"/>
          </a:endParaRPr>
        </a:p>
      </dgm:t>
    </dgm:pt>
    <dgm:pt modelId="{D15AE4D5-185A-4440-AFA7-B705A0988561}" type="parTrans" cxnId="{5AF4F8B2-667F-4EA5-A746-305CE27786C9}">
      <dgm:prSet/>
      <dgm:spPr/>
      <dgm:t>
        <a:bodyPr/>
        <a:lstStyle/>
        <a:p>
          <a:endParaRPr lang="zh-CN" altLang="en-US"/>
        </a:p>
      </dgm:t>
    </dgm:pt>
    <dgm:pt modelId="{2342E0B3-5F1E-40AA-B915-4E9B5D310B39}" type="sibTrans" cxnId="{5AF4F8B2-667F-4EA5-A746-305CE27786C9}">
      <dgm:prSet/>
      <dgm:spPr/>
      <dgm:t>
        <a:bodyPr/>
        <a:lstStyle/>
        <a:p>
          <a:endParaRPr lang="zh-CN" altLang="en-US"/>
        </a:p>
      </dgm:t>
    </dgm:pt>
    <dgm:pt modelId="{154CB639-DF76-4269-8A6D-E283B5EE0F5A}">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en-US" sz="1000">
              <a:latin typeface="Times New Roman" pitchFamily="18" charset="0"/>
              <a:ea typeface="Verdana" pitchFamily="34" charset="0"/>
              <a:cs typeface="Times New Roman" pitchFamily="18" charset="0"/>
            </a:rPr>
            <a:t>Well-designed academic coursework</a:t>
          </a:r>
          <a:endParaRPr lang="zh-CN" altLang="en-US" sz="1000">
            <a:latin typeface="Times New Roman" pitchFamily="18" charset="0"/>
            <a:cs typeface="Times New Roman" pitchFamily="18" charset="0"/>
          </a:endParaRPr>
        </a:p>
      </dgm:t>
    </dgm:pt>
    <dgm:pt modelId="{208A1383-07CD-43EE-B85C-DD0772EDDDAF}" type="parTrans" cxnId="{90825188-AEF5-428B-BD38-98B7068695C6}">
      <dgm:prSet/>
      <dgm:spPr/>
      <dgm:t>
        <a:bodyPr/>
        <a:lstStyle/>
        <a:p>
          <a:endParaRPr lang="zh-CN" altLang="en-US"/>
        </a:p>
      </dgm:t>
    </dgm:pt>
    <dgm:pt modelId="{406CB128-3743-43D3-B25E-F2E34C2D77F5}" type="sibTrans" cxnId="{90825188-AEF5-428B-BD38-98B7068695C6}">
      <dgm:prSet/>
      <dgm:spPr/>
      <dgm:t>
        <a:bodyPr/>
        <a:lstStyle/>
        <a:p>
          <a:endParaRPr lang="zh-CN" altLang="en-US"/>
        </a:p>
      </dgm:t>
    </dgm:pt>
    <dgm:pt modelId="{4E0C1FA2-8C16-4356-AC3A-364628474282}">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en-US" altLang="zh-CN" sz="1000">
              <a:latin typeface="Times New Roman" pitchFamily="18" charset="0"/>
              <a:ea typeface="Verdana" pitchFamily="34" charset="0"/>
              <a:cs typeface="Times New Roman" pitchFamily="18" charset="0"/>
            </a:rPr>
            <a:t>Free interaction with renowned professors and practioners</a:t>
          </a:r>
          <a:endParaRPr lang="zh-CN" altLang="en-US" sz="1000">
            <a:latin typeface="Times New Roman" pitchFamily="18" charset="0"/>
            <a:cs typeface="Times New Roman" pitchFamily="18" charset="0"/>
          </a:endParaRPr>
        </a:p>
      </dgm:t>
    </dgm:pt>
    <dgm:pt modelId="{3187A882-2E6A-467F-8DFD-20D6B4905BF2}" type="parTrans" cxnId="{85F0A1B7-81D7-4030-A4B1-C965B4259627}">
      <dgm:prSet/>
      <dgm:spPr/>
      <dgm:t>
        <a:bodyPr/>
        <a:lstStyle/>
        <a:p>
          <a:endParaRPr lang="zh-CN" altLang="en-US"/>
        </a:p>
      </dgm:t>
    </dgm:pt>
    <dgm:pt modelId="{29305707-0DFB-4ADB-9BB9-92B3CFE34FE4}" type="sibTrans" cxnId="{85F0A1B7-81D7-4030-A4B1-C965B4259627}">
      <dgm:prSet/>
      <dgm:spPr/>
      <dgm:t>
        <a:bodyPr/>
        <a:lstStyle/>
        <a:p>
          <a:endParaRPr lang="zh-CN" altLang="en-US"/>
        </a:p>
      </dgm:t>
    </dgm:pt>
    <dgm:pt modelId="{C9FBB8EB-6E31-4875-88C1-96D1ED7D6869}">
      <dgm:prSet phldrT="[文本]" custT="1"/>
      <dgm:spPr>
        <a:ln>
          <a:solidFill>
            <a:schemeClr val="accent2">
              <a:shade val="80000"/>
              <a:hueOff val="0"/>
              <a:satOff val="0"/>
              <a:lumOff val="0"/>
              <a:alpha val="65000"/>
            </a:schemeClr>
          </a:solidFill>
        </a:ln>
        <a:effectLst>
          <a:innerShdw blurRad="63500" dist="50800" dir="13500000">
            <a:srgbClr val="C00000">
              <a:alpha val="50000"/>
            </a:srgbClr>
          </a:innerShdw>
        </a:effectLst>
      </dgm:spPr>
      <dgm:t>
        <a:bodyPr/>
        <a:lstStyle/>
        <a:p>
          <a:pPr algn="ctr"/>
          <a:r>
            <a:rPr lang="en-US" altLang="zh-CN" sz="1200" b="1">
              <a:latin typeface="Times New Roman" pitchFamily="18" charset="0"/>
              <a:ea typeface="Verdana" pitchFamily="34" charset="0"/>
              <a:cs typeface="Times New Roman" pitchFamily="18" charset="0"/>
            </a:rPr>
            <a:t>Enhance Knowledge on China</a:t>
          </a:r>
          <a:endParaRPr lang="zh-CN" altLang="en-US" sz="1200" b="1">
            <a:latin typeface="Times New Roman" pitchFamily="18" charset="0"/>
            <a:cs typeface="Times New Roman" pitchFamily="18" charset="0"/>
          </a:endParaRPr>
        </a:p>
      </dgm:t>
    </dgm:pt>
    <dgm:pt modelId="{331D80E4-85FC-4202-A14A-8DE5C76C0602}" type="parTrans" cxnId="{9FA3479F-9C8F-4F1A-93AC-6D3A141236E3}">
      <dgm:prSet/>
      <dgm:spPr/>
      <dgm:t>
        <a:bodyPr/>
        <a:lstStyle/>
        <a:p>
          <a:endParaRPr lang="zh-CN" altLang="en-US"/>
        </a:p>
      </dgm:t>
    </dgm:pt>
    <dgm:pt modelId="{7588D2B1-33DA-4287-88A4-2F519D8F1229}" type="sibTrans" cxnId="{9FA3479F-9C8F-4F1A-93AC-6D3A141236E3}">
      <dgm:prSet/>
      <dgm:spPr/>
      <dgm:t>
        <a:bodyPr/>
        <a:lstStyle/>
        <a:p>
          <a:endParaRPr lang="zh-CN" altLang="en-US"/>
        </a:p>
      </dgm:t>
    </dgm:pt>
    <dgm:pt modelId="{97CBFC0E-6CEF-4652-B0D9-785FE43B3BE1}">
      <dgm:prSet phldrT="[文本]" custT="1"/>
      <dgm:spPr>
        <a:ln>
          <a:solidFill>
            <a:schemeClr val="accent2">
              <a:shade val="80000"/>
              <a:hueOff val="0"/>
              <a:satOff val="0"/>
              <a:lumOff val="0"/>
              <a:alpha val="65000"/>
            </a:schemeClr>
          </a:solidFill>
        </a:ln>
        <a:effectLst>
          <a:innerShdw blurRad="63500" dist="50800" dir="13500000">
            <a:srgbClr val="C00000">
              <a:alpha val="50000"/>
            </a:srgbClr>
          </a:innerShdw>
        </a:effectLst>
      </dgm:spPr>
      <dgm:t>
        <a:bodyPr/>
        <a:lstStyle/>
        <a:p>
          <a:pPr algn="ctr"/>
          <a:r>
            <a:rPr lang="en-US" altLang="zh-CN" sz="1200" b="1">
              <a:latin typeface="Times New Roman" pitchFamily="18" charset="0"/>
              <a:ea typeface="Verdana" pitchFamily="34" charset="0"/>
              <a:cs typeface="Times New Roman" pitchFamily="18" charset="0"/>
            </a:rPr>
            <a:t>Expand Professional Network</a:t>
          </a:r>
          <a:endParaRPr lang="zh-CN" altLang="en-US" sz="1200" b="1">
            <a:latin typeface="Times New Roman" pitchFamily="18" charset="0"/>
            <a:cs typeface="Times New Roman" pitchFamily="18" charset="0"/>
          </a:endParaRPr>
        </a:p>
      </dgm:t>
    </dgm:pt>
    <dgm:pt modelId="{21E2133C-B789-4A4B-AA76-1AB9ACBCC6B4}" type="parTrans" cxnId="{C088948E-0AD3-4377-B6EF-2D29D7D6B2B4}">
      <dgm:prSet/>
      <dgm:spPr/>
      <dgm:t>
        <a:bodyPr/>
        <a:lstStyle/>
        <a:p>
          <a:endParaRPr lang="zh-CN" altLang="en-US"/>
        </a:p>
      </dgm:t>
    </dgm:pt>
    <dgm:pt modelId="{B32E72AF-ACE2-49C7-8C8F-57147C65E2FB}" type="sibTrans" cxnId="{C088948E-0AD3-4377-B6EF-2D29D7D6B2B4}">
      <dgm:prSet/>
      <dgm:spPr/>
      <dgm:t>
        <a:bodyPr/>
        <a:lstStyle/>
        <a:p>
          <a:endParaRPr lang="zh-CN" altLang="en-US"/>
        </a:p>
      </dgm:t>
    </dgm:pt>
    <dgm:pt modelId="{64229FC9-E39B-4CB4-8BAC-EE4E49A8DB98}">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en-US" altLang="zh-CN" sz="1000">
              <a:latin typeface="Times New Roman" pitchFamily="18" charset="0"/>
              <a:ea typeface="Verdana" pitchFamily="34" charset="0"/>
              <a:cs typeface="Times New Roman" pitchFamily="18" charset="0"/>
            </a:rPr>
            <a:t>Selective courses on China's society, culture, laws, diplomatic policies, etc.</a:t>
          </a:r>
          <a:endParaRPr lang="zh-CN" altLang="en-US" sz="1000">
            <a:latin typeface="Times New Roman" pitchFamily="18" charset="0"/>
            <a:cs typeface="Times New Roman" pitchFamily="18" charset="0"/>
          </a:endParaRPr>
        </a:p>
      </dgm:t>
    </dgm:pt>
    <dgm:pt modelId="{4DFBDB2C-1904-4A3B-A9C2-B4CC348CA69D}" type="parTrans" cxnId="{7F8EB9EF-BAAA-49B6-9B2A-4AA1BB6E7522}">
      <dgm:prSet/>
      <dgm:spPr/>
      <dgm:t>
        <a:bodyPr/>
        <a:lstStyle/>
        <a:p>
          <a:endParaRPr lang="zh-CN" altLang="en-US"/>
        </a:p>
      </dgm:t>
    </dgm:pt>
    <dgm:pt modelId="{B1ACC6E2-3663-4B47-B0EF-BD8A50D594CD}" type="sibTrans" cxnId="{7F8EB9EF-BAAA-49B6-9B2A-4AA1BB6E7522}">
      <dgm:prSet/>
      <dgm:spPr/>
      <dgm:t>
        <a:bodyPr/>
        <a:lstStyle/>
        <a:p>
          <a:endParaRPr lang="zh-CN" altLang="en-US"/>
        </a:p>
      </dgm:t>
    </dgm:pt>
    <dgm:pt modelId="{8716B927-CA49-4CAC-958B-1A2FC84F25D9}">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en-US" altLang="zh-CN" sz="1000">
              <a:latin typeface="Times New Roman" pitchFamily="18" charset="0"/>
              <a:ea typeface="Verdana" pitchFamily="34" charset="0"/>
              <a:cs typeface="Times New Roman" pitchFamily="18" charset="0"/>
            </a:rPr>
            <a:t>One-week field trip to a well-developed city in China</a:t>
          </a:r>
          <a:endParaRPr lang="zh-CN" altLang="en-US" sz="1000">
            <a:latin typeface="Times New Roman" pitchFamily="18" charset="0"/>
            <a:cs typeface="Times New Roman" pitchFamily="18" charset="0"/>
          </a:endParaRPr>
        </a:p>
      </dgm:t>
    </dgm:pt>
    <dgm:pt modelId="{B0C938D7-836F-46F1-B6B5-D1F915DF0E18}" type="parTrans" cxnId="{B44C60CA-60D4-4D41-A5C6-1B88D7DAB6F4}">
      <dgm:prSet/>
      <dgm:spPr/>
      <dgm:t>
        <a:bodyPr/>
        <a:lstStyle/>
        <a:p>
          <a:endParaRPr lang="zh-CN" altLang="en-US"/>
        </a:p>
      </dgm:t>
    </dgm:pt>
    <dgm:pt modelId="{D12012DA-CA28-4DB3-84B3-476126CFCD50}" type="sibTrans" cxnId="{B44C60CA-60D4-4D41-A5C6-1B88D7DAB6F4}">
      <dgm:prSet/>
      <dgm:spPr/>
      <dgm:t>
        <a:bodyPr/>
        <a:lstStyle/>
        <a:p>
          <a:endParaRPr lang="zh-CN" altLang="en-US"/>
        </a:p>
      </dgm:t>
    </dgm:pt>
    <dgm:pt modelId="{02BC37F9-44CA-44D7-832F-0B5D8E02D723}">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en-US" altLang="zh-CN" sz="1000">
              <a:latin typeface="Times New Roman" pitchFamily="18" charset="0"/>
              <a:ea typeface="Verdana" pitchFamily="34" charset="0"/>
              <a:cs typeface="Times New Roman" pitchFamily="18" charset="0"/>
            </a:rPr>
            <a:t>Short trips to historic attractions and develoment models near Beijing</a:t>
          </a:r>
          <a:r>
            <a:rPr lang="en-US" altLang="zh-CN" sz="800">
              <a:latin typeface="Times New Roman" pitchFamily="18" charset="0"/>
              <a:ea typeface="Verdana" pitchFamily="34" charset="0"/>
              <a:cs typeface="Times New Roman" pitchFamily="18" charset="0"/>
            </a:rPr>
            <a:t> </a:t>
          </a:r>
          <a:endParaRPr lang="zh-CN" altLang="en-US" sz="800">
            <a:latin typeface="Times New Roman" pitchFamily="18" charset="0"/>
            <a:cs typeface="Times New Roman" pitchFamily="18" charset="0"/>
          </a:endParaRPr>
        </a:p>
      </dgm:t>
    </dgm:pt>
    <dgm:pt modelId="{05D62778-6757-434E-B850-971F08E1A82E}" type="parTrans" cxnId="{CB1F4F49-097B-47CA-B4B0-5C618B2CD632}">
      <dgm:prSet/>
      <dgm:spPr/>
      <dgm:t>
        <a:bodyPr/>
        <a:lstStyle/>
        <a:p>
          <a:endParaRPr lang="zh-CN" altLang="en-US"/>
        </a:p>
      </dgm:t>
    </dgm:pt>
    <dgm:pt modelId="{174CAB2B-CBAF-4ACD-BD5B-0B8BE2A5AF5B}" type="sibTrans" cxnId="{CB1F4F49-097B-47CA-B4B0-5C618B2CD632}">
      <dgm:prSet/>
      <dgm:spPr/>
      <dgm:t>
        <a:bodyPr/>
        <a:lstStyle/>
        <a:p>
          <a:endParaRPr lang="zh-CN" altLang="en-US"/>
        </a:p>
      </dgm:t>
    </dgm:pt>
    <dgm:pt modelId="{13234470-8C62-45A2-B6C8-FDFCC3C38EAE}">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endParaRPr lang="zh-CN" altLang="en-US" sz="1000">
            <a:latin typeface="Times New Roman" pitchFamily="18" charset="0"/>
            <a:cs typeface="Times New Roman" pitchFamily="18" charset="0"/>
          </a:endParaRPr>
        </a:p>
      </dgm:t>
    </dgm:pt>
    <dgm:pt modelId="{5067825E-05C9-4D55-8AEB-36A82F742DF6}" type="parTrans" cxnId="{86684935-D3C3-4813-92DB-C24DEC879922}">
      <dgm:prSet/>
      <dgm:spPr/>
      <dgm:t>
        <a:bodyPr/>
        <a:lstStyle/>
        <a:p>
          <a:endParaRPr lang="zh-CN" altLang="en-US"/>
        </a:p>
      </dgm:t>
    </dgm:pt>
    <dgm:pt modelId="{763666A7-28F4-4FED-B7BE-65B8F5942267}" type="sibTrans" cxnId="{86684935-D3C3-4813-92DB-C24DEC879922}">
      <dgm:prSet/>
      <dgm:spPr/>
      <dgm:t>
        <a:bodyPr/>
        <a:lstStyle/>
        <a:p>
          <a:endParaRPr lang="zh-CN" altLang="en-US"/>
        </a:p>
      </dgm:t>
    </dgm:pt>
    <dgm:pt modelId="{7A67F726-CA3F-43EC-AEB3-5A893DD74A8B}">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en-US" altLang="zh-CN" sz="1000">
              <a:latin typeface="Times New Roman" pitchFamily="18" charset="0"/>
              <a:ea typeface="Verdana" pitchFamily="34" charset="0"/>
              <a:cs typeface="Times New Roman" pitchFamily="18" charset="0"/>
            </a:rPr>
            <a:t>Regular communication with alumni and classmates via platform, e.g. Yahoo Groups, Google Groups</a:t>
          </a:r>
          <a:endParaRPr lang="zh-CN" altLang="en-US" sz="1000">
            <a:latin typeface="Times New Roman" pitchFamily="18" charset="0"/>
            <a:cs typeface="Times New Roman" pitchFamily="18" charset="0"/>
          </a:endParaRPr>
        </a:p>
      </dgm:t>
    </dgm:pt>
    <dgm:pt modelId="{9D9104C2-2438-46C3-9740-760931B83FEA}" type="parTrans" cxnId="{E07EA583-00E3-467B-B2BB-97B4ACE3C994}">
      <dgm:prSet/>
      <dgm:spPr/>
      <dgm:t>
        <a:bodyPr/>
        <a:lstStyle/>
        <a:p>
          <a:endParaRPr lang="zh-CN" altLang="en-US"/>
        </a:p>
      </dgm:t>
    </dgm:pt>
    <dgm:pt modelId="{2271BA67-6847-4DFB-BBF4-7F62B0763685}" type="sibTrans" cxnId="{E07EA583-00E3-467B-B2BB-97B4ACE3C994}">
      <dgm:prSet/>
      <dgm:spPr/>
      <dgm:t>
        <a:bodyPr/>
        <a:lstStyle/>
        <a:p>
          <a:endParaRPr lang="zh-CN" altLang="en-US"/>
        </a:p>
      </dgm:t>
    </dgm:pt>
    <dgm:pt modelId="{835C8280-D748-4B77-BF28-E00FE40A23AE}">
      <dgm:prSet phldrT="[文本]"/>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endParaRPr lang="zh-CN" altLang="en-US" sz="900">
            <a:latin typeface="Times New Roman" pitchFamily="18" charset="0"/>
            <a:cs typeface="Times New Roman" pitchFamily="18" charset="0"/>
          </a:endParaRPr>
        </a:p>
      </dgm:t>
    </dgm:pt>
    <dgm:pt modelId="{16E7CE3F-8E56-4B96-AB6A-2E731E3CDA5C}" type="parTrans" cxnId="{A529A56A-FCD4-49B9-95C6-764AB9FB49D7}">
      <dgm:prSet/>
      <dgm:spPr/>
      <dgm:t>
        <a:bodyPr/>
        <a:lstStyle/>
        <a:p>
          <a:endParaRPr lang="zh-CN" altLang="en-US"/>
        </a:p>
      </dgm:t>
    </dgm:pt>
    <dgm:pt modelId="{4A9B9B9C-657E-43AB-AC1B-DC50AAF5FBD3}" type="sibTrans" cxnId="{A529A56A-FCD4-49B9-95C6-764AB9FB49D7}">
      <dgm:prSet/>
      <dgm:spPr/>
      <dgm:t>
        <a:bodyPr/>
        <a:lstStyle/>
        <a:p>
          <a:endParaRPr lang="zh-CN" altLang="en-US"/>
        </a:p>
      </dgm:t>
    </dgm:pt>
    <dgm:pt modelId="{00AE8EF8-9E0F-4944-8A92-C89B9EB3DE82}">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r>
            <a:rPr lang="en-US" altLang="zh-CN" sz="1000">
              <a:latin typeface="Times New Roman" pitchFamily="18" charset="0"/>
              <a:ea typeface="Verdana" pitchFamily="34" charset="0"/>
              <a:cs typeface="Times New Roman" pitchFamily="18" charset="0"/>
            </a:rPr>
            <a:t>Connection buit upon high-calibre lecturer and seminars</a:t>
          </a:r>
          <a:endParaRPr lang="zh-CN" altLang="en-US" sz="1000">
            <a:latin typeface="Times New Roman" pitchFamily="18" charset="0"/>
            <a:cs typeface="Times New Roman" pitchFamily="18" charset="0"/>
          </a:endParaRPr>
        </a:p>
      </dgm:t>
    </dgm:pt>
    <dgm:pt modelId="{CCEBB3CA-0DC0-4BA0-8282-5663BEB1AF57}" type="parTrans" cxnId="{030C65D6-F9B4-42EF-94EE-43E40BA9F621}">
      <dgm:prSet/>
      <dgm:spPr/>
      <dgm:t>
        <a:bodyPr/>
        <a:lstStyle/>
        <a:p>
          <a:endParaRPr lang="zh-CN" altLang="en-US"/>
        </a:p>
      </dgm:t>
    </dgm:pt>
    <dgm:pt modelId="{E398D7DE-334F-45E7-9474-761E91A507C6}" type="sibTrans" cxnId="{030C65D6-F9B4-42EF-94EE-43E40BA9F621}">
      <dgm:prSet/>
      <dgm:spPr/>
      <dgm:t>
        <a:bodyPr/>
        <a:lstStyle/>
        <a:p>
          <a:endParaRPr lang="zh-CN" altLang="en-US"/>
        </a:p>
      </dgm:t>
    </dgm:pt>
    <dgm:pt modelId="{278CFEC8-F7D1-4EC4-AC32-6566CA655D4E}">
      <dgm:prSet phldrT="[文本]" custT="1"/>
      <dgm:spPr>
        <a:ln>
          <a:solidFill>
            <a:schemeClr val="accent2">
              <a:hueOff val="0"/>
              <a:satOff val="0"/>
              <a:lumOff val="0"/>
              <a:alpha val="65000"/>
            </a:schemeClr>
          </a:solidFill>
        </a:ln>
        <a:effectLst>
          <a:innerShdw blurRad="63500" dist="50800" dir="18900000">
            <a:prstClr val="black">
              <a:alpha val="50000"/>
            </a:prstClr>
          </a:innerShdw>
        </a:effectLst>
      </dgm:spPr>
      <dgm:t>
        <a:bodyPr/>
        <a:lstStyle/>
        <a:p>
          <a:endParaRPr lang="zh-CN" altLang="en-US" sz="1000">
            <a:latin typeface="Times New Roman" pitchFamily="18" charset="0"/>
            <a:cs typeface="Times New Roman" pitchFamily="18" charset="0"/>
          </a:endParaRPr>
        </a:p>
      </dgm:t>
    </dgm:pt>
    <dgm:pt modelId="{17F960CA-DF2C-439B-BA39-C85087E25318}" type="parTrans" cxnId="{82410CF7-1378-4F4F-8543-D92EFAE33058}">
      <dgm:prSet/>
      <dgm:spPr/>
      <dgm:t>
        <a:bodyPr/>
        <a:lstStyle/>
        <a:p>
          <a:endParaRPr lang="zh-CN" altLang="en-US"/>
        </a:p>
      </dgm:t>
    </dgm:pt>
    <dgm:pt modelId="{9274B487-E8DB-4817-BD2D-E3D44D8D61A0}" type="sibTrans" cxnId="{82410CF7-1378-4F4F-8543-D92EFAE33058}">
      <dgm:prSet/>
      <dgm:spPr/>
      <dgm:t>
        <a:bodyPr/>
        <a:lstStyle/>
        <a:p>
          <a:endParaRPr lang="zh-CN" altLang="en-US"/>
        </a:p>
      </dgm:t>
    </dgm:pt>
    <dgm:pt modelId="{6FEB0CE0-3B7C-4159-B75B-96DEB190854D}" type="pres">
      <dgm:prSet presAssocID="{512B6C25-C1D6-4094-A350-5BF81129B79D}" presName="Name0" presStyleCnt="0">
        <dgm:presLayoutVars>
          <dgm:dir/>
          <dgm:animLvl val="lvl"/>
          <dgm:resizeHandles/>
        </dgm:presLayoutVars>
      </dgm:prSet>
      <dgm:spPr/>
      <dgm:t>
        <a:bodyPr/>
        <a:lstStyle/>
        <a:p>
          <a:endParaRPr lang="zh-CN" altLang="en-US"/>
        </a:p>
      </dgm:t>
    </dgm:pt>
    <dgm:pt modelId="{5D9FC65A-B3A6-440F-A0E7-493388F2C5A6}" type="pres">
      <dgm:prSet presAssocID="{DB0C0F4F-6C84-42A0-9ED3-C8BECB278121}" presName="linNode" presStyleCnt="0"/>
      <dgm:spPr/>
    </dgm:pt>
    <dgm:pt modelId="{8C567585-5892-4006-982D-EB306D1E736F}" type="pres">
      <dgm:prSet presAssocID="{DB0C0F4F-6C84-42A0-9ED3-C8BECB278121}" presName="parentShp" presStyleLbl="node1" presStyleIdx="0" presStyleCnt="3" custScaleX="84898" custScaleY="82558">
        <dgm:presLayoutVars>
          <dgm:bulletEnabled val="1"/>
        </dgm:presLayoutVars>
      </dgm:prSet>
      <dgm:spPr/>
      <dgm:t>
        <a:bodyPr/>
        <a:lstStyle/>
        <a:p>
          <a:endParaRPr lang="zh-CN" altLang="en-US"/>
        </a:p>
      </dgm:t>
    </dgm:pt>
    <dgm:pt modelId="{79E3F616-71C1-466A-B41D-A9E36D857EA9}" type="pres">
      <dgm:prSet presAssocID="{DB0C0F4F-6C84-42A0-9ED3-C8BECB278121}" presName="childShp" presStyleLbl="bgAccFollowNode1" presStyleIdx="0" presStyleCnt="3">
        <dgm:presLayoutVars>
          <dgm:bulletEnabled val="1"/>
        </dgm:presLayoutVars>
      </dgm:prSet>
      <dgm:spPr/>
      <dgm:t>
        <a:bodyPr/>
        <a:lstStyle/>
        <a:p>
          <a:endParaRPr lang="zh-CN" altLang="en-US"/>
        </a:p>
      </dgm:t>
    </dgm:pt>
    <dgm:pt modelId="{AC9716C5-9E3A-4CC3-B41B-BD18BDD18EE9}" type="pres">
      <dgm:prSet presAssocID="{2342E0B3-5F1E-40AA-B915-4E9B5D310B39}" presName="spacing" presStyleCnt="0"/>
      <dgm:spPr/>
    </dgm:pt>
    <dgm:pt modelId="{59808046-B5A6-4DA7-999B-FAE8DD4B7D1C}" type="pres">
      <dgm:prSet presAssocID="{C9FBB8EB-6E31-4875-88C1-96D1ED7D6869}" presName="linNode" presStyleCnt="0"/>
      <dgm:spPr/>
    </dgm:pt>
    <dgm:pt modelId="{A92C2955-D026-4B0D-B425-2E292787616B}" type="pres">
      <dgm:prSet presAssocID="{C9FBB8EB-6E31-4875-88C1-96D1ED7D6869}" presName="parentShp" presStyleLbl="node1" presStyleIdx="1" presStyleCnt="3" custScaleX="86786" custScaleY="78689">
        <dgm:presLayoutVars>
          <dgm:bulletEnabled val="1"/>
        </dgm:presLayoutVars>
      </dgm:prSet>
      <dgm:spPr/>
      <dgm:t>
        <a:bodyPr/>
        <a:lstStyle/>
        <a:p>
          <a:endParaRPr lang="zh-CN" altLang="en-US"/>
        </a:p>
      </dgm:t>
    </dgm:pt>
    <dgm:pt modelId="{E481116B-DE38-4C18-A8D5-4A90FBA7122F}" type="pres">
      <dgm:prSet presAssocID="{C9FBB8EB-6E31-4875-88C1-96D1ED7D6869}" presName="childShp" presStyleLbl="bgAccFollowNode1" presStyleIdx="1" presStyleCnt="3" custScaleX="102451" custScaleY="164659" custLinFactNeighborX="-433" custLinFactNeighborY="2098">
        <dgm:presLayoutVars>
          <dgm:bulletEnabled val="1"/>
        </dgm:presLayoutVars>
      </dgm:prSet>
      <dgm:spPr/>
      <dgm:t>
        <a:bodyPr/>
        <a:lstStyle/>
        <a:p>
          <a:endParaRPr lang="zh-CN" altLang="en-US"/>
        </a:p>
      </dgm:t>
    </dgm:pt>
    <dgm:pt modelId="{BF7060EB-8DD4-4DCC-A0A0-5B068117F80B}" type="pres">
      <dgm:prSet presAssocID="{7588D2B1-33DA-4287-88A4-2F519D8F1229}" presName="spacing" presStyleCnt="0"/>
      <dgm:spPr/>
    </dgm:pt>
    <dgm:pt modelId="{EC147C01-A3BE-4242-AD19-CB140F2DFF31}" type="pres">
      <dgm:prSet presAssocID="{97CBFC0E-6CEF-4652-B0D9-785FE43B3BE1}" presName="linNode" presStyleCnt="0"/>
      <dgm:spPr/>
    </dgm:pt>
    <dgm:pt modelId="{F0213DA6-E3D2-4181-B172-3CA8337C6A54}" type="pres">
      <dgm:prSet presAssocID="{97CBFC0E-6CEF-4652-B0D9-785FE43B3BE1}" presName="parentShp" presStyleLbl="node1" presStyleIdx="2" presStyleCnt="3" custScaleX="83074" custScaleY="74164">
        <dgm:presLayoutVars>
          <dgm:bulletEnabled val="1"/>
        </dgm:presLayoutVars>
      </dgm:prSet>
      <dgm:spPr/>
      <dgm:t>
        <a:bodyPr/>
        <a:lstStyle/>
        <a:p>
          <a:endParaRPr lang="zh-CN" altLang="en-US"/>
        </a:p>
      </dgm:t>
    </dgm:pt>
    <dgm:pt modelId="{97D20DC7-81FB-43E4-B304-FB355E468A84}" type="pres">
      <dgm:prSet presAssocID="{97CBFC0E-6CEF-4652-B0D9-785FE43B3BE1}" presName="childShp" presStyleLbl="bgAccFollowNode1" presStyleIdx="2" presStyleCnt="3" custScaleX="102957" custScaleY="129214">
        <dgm:presLayoutVars>
          <dgm:bulletEnabled val="1"/>
        </dgm:presLayoutVars>
      </dgm:prSet>
      <dgm:spPr/>
      <dgm:t>
        <a:bodyPr/>
        <a:lstStyle/>
        <a:p>
          <a:endParaRPr lang="zh-CN" altLang="en-US"/>
        </a:p>
      </dgm:t>
    </dgm:pt>
  </dgm:ptLst>
  <dgm:cxnLst>
    <dgm:cxn modelId="{85F0A1B7-81D7-4030-A4B1-C965B4259627}" srcId="{DB0C0F4F-6C84-42A0-9ED3-C8BECB278121}" destId="{4E0C1FA2-8C16-4356-AC3A-364628474282}" srcOrd="2" destOrd="0" parTransId="{3187A882-2E6A-467F-8DFD-20D6B4905BF2}" sibTransId="{29305707-0DFB-4ADB-9BB9-92B3CFE34FE4}"/>
    <dgm:cxn modelId="{86684935-D3C3-4813-92DB-C24DEC879922}" srcId="{97CBFC0E-6CEF-4652-B0D9-785FE43B3BE1}" destId="{13234470-8C62-45A2-B6C8-FDFCC3C38EAE}" srcOrd="0" destOrd="0" parTransId="{5067825E-05C9-4D55-8AEB-36A82F742DF6}" sibTransId="{763666A7-28F4-4FED-B7BE-65B8F5942267}"/>
    <dgm:cxn modelId="{5AF4F8B2-667F-4EA5-A746-305CE27786C9}" srcId="{512B6C25-C1D6-4094-A350-5BF81129B79D}" destId="{DB0C0F4F-6C84-42A0-9ED3-C8BECB278121}" srcOrd="0" destOrd="0" parTransId="{D15AE4D5-185A-4440-AFA7-B705A0988561}" sibTransId="{2342E0B3-5F1E-40AA-B915-4E9B5D310B39}"/>
    <dgm:cxn modelId="{E07EA583-00E3-467B-B2BB-97B4ACE3C994}" srcId="{97CBFC0E-6CEF-4652-B0D9-785FE43B3BE1}" destId="{7A67F726-CA3F-43EC-AEB3-5A893DD74A8B}" srcOrd="2" destOrd="0" parTransId="{9D9104C2-2438-46C3-9740-760931B83FEA}" sibTransId="{2271BA67-6847-4DFB-BBF4-7F62B0763685}"/>
    <dgm:cxn modelId="{C088948E-0AD3-4377-B6EF-2D29D7D6B2B4}" srcId="{512B6C25-C1D6-4094-A350-5BF81129B79D}" destId="{97CBFC0E-6CEF-4652-B0D9-785FE43B3BE1}" srcOrd="2" destOrd="0" parTransId="{21E2133C-B789-4A4B-AA76-1AB9ACBCC6B4}" sibTransId="{B32E72AF-ACE2-49C7-8C8F-57147C65E2FB}"/>
    <dgm:cxn modelId="{82410CF7-1378-4F4F-8543-D92EFAE33058}" srcId="{DB0C0F4F-6C84-42A0-9ED3-C8BECB278121}" destId="{278CFEC8-F7D1-4EC4-AC32-6566CA655D4E}" srcOrd="0" destOrd="0" parTransId="{17F960CA-DF2C-439B-BA39-C85087E25318}" sibTransId="{9274B487-E8DB-4817-BD2D-E3D44D8D61A0}"/>
    <dgm:cxn modelId="{A529A56A-FCD4-49B9-95C6-764AB9FB49D7}" srcId="{97CBFC0E-6CEF-4652-B0D9-785FE43B3BE1}" destId="{835C8280-D748-4B77-BF28-E00FE40A23AE}" srcOrd="3" destOrd="0" parTransId="{16E7CE3F-8E56-4B96-AB6A-2E731E3CDA5C}" sibTransId="{4A9B9B9C-657E-43AB-AC1B-DC50AAF5FBD3}"/>
    <dgm:cxn modelId="{9C3457B0-37DD-4D88-839B-C123BC8F488E}" type="presOf" srcId="{4E0C1FA2-8C16-4356-AC3A-364628474282}" destId="{79E3F616-71C1-466A-B41D-A9E36D857EA9}" srcOrd="0" destOrd="2" presId="urn:microsoft.com/office/officeart/2005/8/layout/vList6"/>
    <dgm:cxn modelId="{030C65D6-F9B4-42EF-94EE-43E40BA9F621}" srcId="{97CBFC0E-6CEF-4652-B0D9-785FE43B3BE1}" destId="{00AE8EF8-9E0F-4944-8A92-C89B9EB3DE82}" srcOrd="1" destOrd="0" parTransId="{CCEBB3CA-0DC0-4BA0-8282-5663BEB1AF57}" sibTransId="{E398D7DE-334F-45E7-9474-761E91A507C6}"/>
    <dgm:cxn modelId="{90825188-AEF5-428B-BD38-98B7068695C6}" srcId="{DB0C0F4F-6C84-42A0-9ED3-C8BECB278121}" destId="{154CB639-DF76-4269-8A6D-E283B5EE0F5A}" srcOrd="1" destOrd="0" parTransId="{208A1383-07CD-43EE-B85C-DD0772EDDDAF}" sibTransId="{406CB128-3743-43D3-B25E-F2E34C2D77F5}"/>
    <dgm:cxn modelId="{4FB26AE2-AE57-4686-9369-5D028C339335}" type="presOf" srcId="{00AE8EF8-9E0F-4944-8A92-C89B9EB3DE82}" destId="{97D20DC7-81FB-43E4-B304-FB355E468A84}" srcOrd="0" destOrd="1" presId="urn:microsoft.com/office/officeart/2005/8/layout/vList6"/>
    <dgm:cxn modelId="{FA00FC36-5E0C-4CC8-A6E4-525506C92DEB}" type="presOf" srcId="{13234470-8C62-45A2-B6C8-FDFCC3C38EAE}" destId="{97D20DC7-81FB-43E4-B304-FB355E468A84}" srcOrd="0" destOrd="0" presId="urn:microsoft.com/office/officeart/2005/8/layout/vList6"/>
    <dgm:cxn modelId="{BA046F27-E72F-41EC-9520-20F08D8373DB}" type="presOf" srcId="{64229FC9-E39B-4CB4-8BAC-EE4E49A8DB98}" destId="{E481116B-DE38-4C18-A8D5-4A90FBA7122F}" srcOrd="0" destOrd="0" presId="urn:microsoft.com/office/officeart/2005/8/layout/vList6"/>
    <dgm:cxn modelId="{2ADE5B10-C294-46C9-AFE5-D432EE76D506}" type="presOf" srcId="{97CBFC0E-6CEF-4652-B0D9-785FE43B3BE1}" destId="{F0213DA6-E3D2-4181-B172-3CA8337C6A54}" srcOrd="0" destOrd="0" presId="urn:microsoft.com/office/officeart/2005/8/layout/vList6"/>
    <dgm:cxn modelId="{504F113C-2019-4088-9529-35AEA234A093}" type="presOf" srcId="{DB0C0F4F-6C84-42A0-9ED3-C8BECB278121}" destId="{8C567585-5892-4006-982D-EB306D1E736F}" srcOrd="0" destOrd="0" presId="urn:microsoft.com/office/officeart/2005/8/layout/vList6"/>
    <dgm:cxn modelId="{5EA27E80-5458-4ACA-94B4-4B5F25D988A4}" type="presOf" srcId="{8716B927-CA49-4CAC-958B-1A2FC84F25D9}" destId="{E481116B-DE38-4C18-A8D5-4A90FBA7122F}" srcOrd="0" destOrd="1" presId="urn:microsoft.com/office/officeart/2005/8/layout/vList6"/>
    <dgm:cxn modelId="{913E2338-8C45-463C-B232-89E13368A5CD}" type="presOf" srcId="{278CFEC8-F7D1-4EC4-AC32-6566CA655D4E}" destId="{79E3F616-71C1-466A-B41D-A9E36D857EA9}" srcOrd="0" destOrd="0" presId="urn:microsoft.com/office/officeart/2005/8/layout/vList6"/>
    <dgm:cxn modelId="{D12BFAB2-B9E7-4EB4-93B5-1C2382454DF4}" type="presOf" srcId="{C9FBB8EB-6E31-4875-88C1-96D1ED7D6869}" destId="{A92C2955-D026-4B0D-B425-2E292787616B}" srcOrd="0" destOrd="0" presId="urn:microsoft.com/office/officeart/2005/8/layout/vList6"/>
    <dgm:cxn modelId="{9FA3479F-9C8F-4F1A-93AC-6D3A141236E3}" srcId="{512B6C25-C1D6-4094-A350-5BF81129B79D}" destId="{C9FBB8EB-6E31-4875-88C1-96D1ED7D6869}" srcOrd="1" destOrd="0" parTransId="{331D80E4-85FC-4202-A14A-8DE5C76C0602}" sibTransId="{7588D2B1-33DA-4287-88A4-2F519D8F1229}"/>
    <dgm:cxn modelId="{D87020BA-5B30-4DBE-8A68-D499F57BBC09}" type="presOf" srcId="{02BC37F9-44CA-44D7-832F-0B5D8E02D723}" destId="{E481116B-DE38-4C18-A8D5-4A90FBA7122F}" srcOrd="0" destOrd="2" presId="urn:microsoft.com/office/officeart/2005/8/layout/vList6"/>
    <dgm:cxn modelId="{7F8EB9EF-BAAA-49B6-9B2A-4AA1BB6E7522}" srcId="{C9FBB8EB-6E31-4875-88C1-96D1ED7D6869}" destId="{64229FC9-E39B-4CB4-8BAC-EE4E49A8DB98}" srcOrd="0" destOrd="0" parTransId="{4DFBDB2C-1904-4A3B-A9C2-B4CC348CA69D}" sibTransId="{B1ACC6E2-3663-4B47-B0EF-BD8A50D594CD}"/>
    <dgm:cxn modelId="{1415F860-DED2-4D36-9176-E1E1E425A401}" type="presOf" srcId="{835C8280-D748-4B77-BF28-E00FE40A23AE}" destId="{97D20DC7-81FB-43E4-B304-FB355E468A84}" srcOrd="0" destOrd="3" presId="urn:microsoft.com/office/officeart/2005/8/layout/vList6"/>
    <dgm:cxn modelId="{CB1F4F49-097B-47CA-B4B0-5C618B2CD632}" srcId="{C9FBB8EB-6E31-4875-88C1-96D1ED7D6869}" destId="{02BC37F9-44CA-44D7-832F-0B5D8E02D723}" srcOrd="2" destOrd="0" parTransId="{05D62778-6757-434E-B850-971F08E1A82E}" sibTransId="{174CAB2B-CBAF-4ACD-BD5B-0B8BE2A5AF5B}"/>
    <dgm:cxn modelId="{0C53EB14-4547-4B17-B1CC-ACC701E9A8FB}" type="presOf" srcId="{154CB639-DF76-4269-8A6D-E283B5EE0F5A}" destId="{79E3F616-71C1-466A-B41D-A9E36D857EA9}" srcOrd="0" destOrd="1" presId="urn:microsoft.com/office/officeart/2005/8/layout/vList6"/>
    <dgm:cxn modelId="{3900C1E6-AAE2-4DD7-8CF8-F47BFE1FA0E1}" type="presOf" srcId="{512B6C25-C1D6-4094-A350-5BF81129B79D}" destId="{6FEB0CE0-3B7C-4159-B75B-96DEB190854D}" srcOrd="0" destOrd="0" presId="urn:microsoft.com/office/officeart/2005/8/layout/vList6"/>
    <dgm:cxn modelId="{B44C60CA-60D4-4D41-A5C6-1B88D7DAB6F4}" srcId="{C9FBB8EB-6E31-4875-88C1-96D1ED7D6869}" destId="{8716B927-CA49-4CAC-958B-1A2FC84F25D9}" srcOrd="1" destOrd="0" parTransId="{B0C938D7-836F-46F1-B6B5-D1F915DF0E18}" sibTransId="{D12012DA-CA28-4DB3-84B3-476126CFCD50}"/>
    <dgm:cxn modelId="{9A4DB9A1-12F7-4EBC-812F-3BCF4E08052C}" type="presOf" srcId="{7A67F726-CA3F-43EC-AEB3-5A893DD74A8B}" destId="{97D20DC7-81FB-43E4-B304-FB355E468A84}" srcOrd="0" destOrd="2" presId="urn:microsoft.com/office/officeart/2005/8/layout/vList6"/>
    <dgm:cxn modelId="{59A3A9E3-BE85-4320-888B-1E02F7E6ECF7}" type="presParOf" srcId="{6FEB0CE0-3B7C-4159-B75B-96DEB190854D}" destId="{5D9FC65A-B3A6-440F-A0E7-493388F2C5A6}" srcOrd="0" destOrd="0" presId="urn:microsoft.com/office/officeart/2005/8/layout/vList6"/>
    <dgm:cxn modelId="{7980B42C-2E23-4E59-8E66-4113666A20CF}" type="presParOf" srcId="{5D9FC65A-B3A6-440F-A0E7-493388F2C5A6}" destId="{8C567585-5892-4006-982D-EB306D1E736F}" srcOrd="0" destOrd="0" presId="urn:microsoft.com/office/officeart/2005/8/layout/vList6"/>
    <dgm:cxn modelId="{5CD9B9F4-FDED-4F02-8141-954681908C64}" type="presParOf" srcId="{5D9FC65A-B3A6-440F-A0E7-493388F2C5A6}" destId="{79E3F616-71C1-466A-B41D-A9E36D857EA9}" srcOrd="1" destOrd="0" presId="urn:microsoft.com/office/officeart/2005/8/layout/vList6"/>
    <dgm:cxn modelId="{BCFF6290-A6A9-415C-9B59-21D985561B4B}" type="presParOf" srcId="{6FEB0CE0-3B7C-4159-B75B-96DEB190854D}" destId="{AC9716C5-9E3A-4CC3-B41B-BD18BDD18EE9}" srcOrd="1" destOrd="0" presId="urn:microsoft.com/office/officeart/2005/8/layout/vList6"/>
    <dgm:cxn modelId="{7A80591A-BB3D-4C36-AF81-A5C0A081682E}" type="presParOf" srcId="{6FEB0CE0-3B7C-4159-B75B-96DEB190854D}" destId="{59808046-B5A6-4DA7-999B-FAE8DD4B7D1C}" srcOrd="2" destOrd="0" presId="urn:microsoft.com/office/officeart/2005/8/layout/vList6"/>
    <dgm:cxn modelId="{A1A9FD3F-F42F-4F84-B1D9-5E7FEE0E99A2}" type="presParOf" srcId="{59808046-B5A6-4DA7-999B-FAE8DD4B7D1C}" destId="{A92C2955-D026-4B0D-B425-2E292787616B}" srcOrd="0" destOrd="0" presId="urn:microsoft.com/office/officeart/2005/8/layout/vList6"/>
    <dgm:cxn modelId="{315E8327-7E5E-40E9-B091-BB4A1D8384CD}" type="presParOf" srcId="{59808046-B5A6-4DA7-999B-FAE8DD4B7D1C}" destId="{E481116B-DE38-4C18-A8D5-4A90FBA7122F}" srcOrd="1" destOrd="0" presId="urn:microsoft.com/office/officeart/2005/8/layout/vList6"/>
    <dgm:cxn modelId="{15A78662-38A5-4AC7-AEFF-8724076ECC7E}" type="presParOf" srcId="{6FEB0CE0-3B7C-4159-B75B-96DEB190854D}" destId="{BF7060EB-8DD4-4DCC-A0A0-5B068117F80B}" srcOrd="3" destOrd="0" presId="urn:microsoft.com/office/officeart/2005/8/layout/vList6"/>
    <dgm:cxn modelId="{FE516B1F-CF48-4E89-8DFB-6D2E496CE725}" type="presParOf" srcId="{6FEB0CE0-3B7C-4159-B75B-96DEB190854D}" destId="{EC147C01-A3BE-4242-AD19-CB140F2DFF31}" srcOrd="4" destOrd="0" presId="urn:microsoft.com/office/officeart/2005/8/layout/vList6"/>
    <dgm:cxn modelId="{8B2F75E3-81C4-46A8-A869-CCF5139E59FA}" type="presParOf" srcId="{EC147C01-A3BE-4242-AD19-CB140F2DFF31}" destId="{F0213DA6-E3D2-4181-B172-3CA8337C6A54}" srcOrd="0" destOrd="0" presId="urn:microsoft.com/office/officeart/2005/8/layout/vList6"/>
    <dgm:cxn modelId="{5F914F4D-6E65-4038-9B38-B1D2D8BBD52A}" type="presParOf" srcId="{EC147C01-A3BE-4242-AD19-CB140F2DFF31}" destId="{97D20DC7-81FB-43E4-B304-FB355E468A84}" srcOrd="1" destOrd="0" presId="urn:microsoft.com/office/officeart/2005/8/layout/vList6"/>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1" name=""/>
      <dsp:cNvGrpSpPr/>
    </dsp:nvGrpSpPr>
    <dsp:grpSpPr>
      <a:xfrm>
        <a:off x="0" y="0"/>
        <a:ext cx="5181600" cy="2787650"/>
        <a:chOff x="0" y="0"/>
        <a:chExt cx="0" cy="0"/>
      </a:xfrm>
    </dsp:grpSpPr>
    <dsp:sp>
      <dsp:nvSpPr>
        <dsp:cNvPr id="2" name="右箭头 1"/>
        <dsp:cNvSpPr/>
      </dsp:nvSpPr>
      <dsp:spPr>
        <a:xfrm>
          <a:off x="1916793" y="2289"/>
          <a:ext cx="3105923" cy="829953"/>
        </a:xfrm>
        <a:prstGeom prst="rightArrow">
          <a:avLst>
            <a:gd name="adj1" fmla="val 75000"/>
            <a:gd name="adj2" fmla="val 50000"/>
          </a:avLst>
        </a:prstGeom>
        <a:solidFill>
          <a:schemeClr val="lt1">
            <a:alpha val="90000"/>
            <a:tint val="40000"/>
            <a:hueOff val="0"/>
            <a:satOff val="0"/>
            <a:lumOff val="0"/>
            <a:alphaOff val="0"/>
          </a:schemeClr>
        </a:solidFill>
        <a:ln w="25400" cap="flat" cmpd="sng" algn="ctr">
          <a:solidFill>
            <a:schemeClr val="accent2">
              <a:hueOff val="0"/>
              <a:satOff val="0"/>
              <a:lumOff val="0"/>
              <a:alpha val="65000"/>
            </a:schemeClr>
          </a:solidFill>
          <a:prstDash val="solid"/>
        </a:ln>
        <a:effectLst>
          <a:innerShdw blurRad="63500" dist="50800" dir="18900000">
            <a:prstClr val="black">
              <a:alpha val="50000"/>
            </a:prstClr>
          </a:innerShdw>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zh-CN" altLang="en-US" sz="1000" kern="1200">
              <a:latin typeface="Times New Roman" pitchFamily="18" charset="0"/>
              <a:cs typeface="Times New Roman" pitchFamily="18" charset="0"/>
            </a:rPr>
            <a:t>设计完善的专业课</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zh-CN" altLang="en-US" sz="1000" kern="1200">
              <a:latin typeface="Times New Roman" pitchFamily="18" charset="0"/>
              <a:cs typeface="Times New Roman" pitchFamily="18" charset="0"/>
            </a:rPr>
            <a:t>与知名教授和业内专家自由交流</a:t>
          </a:r>
          <a:endParaRPr lang="zh-CN" altLang="en-US" sz="1000" kern="1200">
            <a:latin typeface="Times New Roman" pitchFamily="18" charset="0"/>
            <a:cs typeface="Times New Roman" pitchFamily="18" charset="0"/>
          </a:endParaRPr>
        </a:p>
      </dsp:txBody>
      <dsp:txXfrm>
        <a:off x="1916793" y="2289"/>
        <a:ext cx="3105923" cy="829953"/>
      </dsp:txXfrm>
    </dsp:sp>
    <dsp:sp>
      <dsp:nvSpPr>
        <dsp:cNvPr id="3" name="圆角矩形 2"/>
        <dsp:cNvSpPr/>
      </dsp:nvSpPr>
      <dsp:spPr>
        <a:xfrm>
          <a:off x="158882" y="75588"/>
          <a:ext cx="1757911" cy="683355"/>
        </a:xfrm>
        <a:prstGeom prst="roundRect">
          <a:avLst/>
        </a:prstGeom>
        <a:solidFill>
          <a:schemeClr val="lt1">
            <a:hueOff val="0"/>
            <a:satOff val="0"/>
            <a:lumOff val="0"/>
            <a:alphaOff val="0"/>
          </a:schemeClr>
        </a:solidFill>
        <a:ln w="38100" cap="flat" cmpd="sng" algn="ctr">
          <a:solidFill>
            <a:schemeClr val="accent2">
              <a:shade val="80000"/>
              <a:hueOff val="0"/>
              <a:satOff val="0"/>
              <a:lumOff val="0"/>
              <a:alpha val="65000"/>
            </a:schemeClr>
          </a:solidFill>
          <a:prstDash val="solid"/>
        </a:ln>
        <a:effectLst>
          <a:innerShdw blurRad="63500" dist="50800" dir="13500000">
            <a:srgbClr val="C00000">
              <a:alpha val="50000"/>
            </a:srgbClr>
          </a:innerShdw>
        </a:effectLst>
      </dsp:spPr>
      <dsp:style>
        <a:lnRef idx="3">
          <a:scrgbClr r="0" g="0" b="0"/>
        </a:lnRef>
        <a:fillRef idx="1">
          <a:scrgbClr r="0" g="0" b="0"/>
        </a:fillRef>
        <a:effectRef idx="1">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zh-CN" altLang="en-US" sz="1200" b="1" kern="1200">
              <a:latin typeface="Times New Roman" pitchFamily="18" charset="0"/>
              <a:cs typeface="Times New Roman" pitchFamily="18" charset="0"/>
            </a:rPr>
            <a:t>提高公共管理能力</a:t>
          </a:r>
          <a:r>
            <a:rPr lang="en-US" altLang="zh-CN" sz="1200" b="1" kern="1200">
              <a:latin typeface="Times New Roman" pitchFamily="18" charset="0"/>
              <a:cs typeface="Times New Roman" pitchFamily="18" charset="0"/>
            </a:rPr>
            <a:t> </a:t>
          </a:r>
          <a:endParaRPr lang="zh-CN" altLang="en-US" sz="1200" b="1" kern="1200">
            <a:latin typeface="Times New Roman" pitchFamily="18" charset="0"/>
            <a:cs typeface="Times New Roman" pitchFamily="18" charset="0"/>
          </a:endParaRPr>
        </a:p>
      </dsp:txBody>
      <dsp:txXfrm>
        <a:off x="158882" y="75588"/>
        <a:ext cx="1757911" cy="683355"/>
      </dsp:txXfrm>
    </dsp:sp>
    <dsp:sp>
      <dsp:nvSpPr>
        <dsp:cNvPr id="4" name="右箭头 3"/>
        <dsp:cNvSpPr/>
      </dsp:nvSpPr>
      <dsp:spPr>
        <a:xfrm>
          <a:off x="1927374" y="932381"/>
          <a:ext cx="3105923" cy="960329"/>
        </a:xfrm>
        <a:prstGeom prst="rightArrow">
          <a:avLst>
            <a:gd name="adj1" fmla="val 75000"/>
            <a:gd name="adj2" fmla="val 50000"/>
          </a:avLst>
        </a:prstGeom>
        <a:solidFill>
          <a:schemeClr val="lt1">
            <a:alpha val="90000"/>
            <a:tint val="40000"/>
            <a:hueOff val="0"/>
            <a:satOff val="0"/>
            <a:lumOff val="0"/>
            <a:alphaOff val="0"/>
          </a:schemeClr>
        </a:solidFill>
        <a:ln w="25400" cap="flat" cmpd="sng" algn="ctr">
          <a:solidFill>
            <a:schemeClr val="accent2">
              <a:hueOff val="0"/>
              <a:satOff val="0"/>
              <a:lumOff val="0"/>
              <a:alpha val="65000"/>
            </a:schemeClr>
          </a:solidFill>
          <a:prstDash val="solid"/>
        </a:ln>
        <a:effectLst>
          <a:innerShdw blurRad="63500" dist="50800" dir="18900000">
            <a:prstClr val="black">
              <a:alpha val="50000"/>
            </a:prstClr>
          </a:innerShdw>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zh-CN" altLang="en-US" sz="1000" kern="1200">
              <a:latin typeface="Times New Roman" pitchFamily="18" charset="0"/>
              <a:cs typeface="Times New Roman" pitchFamily="18" charset="0"/>
            </a:rPr>
            <a:t>众多与中国相关的选修课供学生自由选择（社会、文化、法律、外交等）</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zh-CN" altLang="en-US" sz="1000" kern="1200">
              <a:latin typeface="Times New Roman" pitchFamily="18" charset="0"/>
              <a:cs typeface="Times New Roman" pitchFamily="18" charset="0"/>
            </a:rPr>
            <a:t>一周社会实践</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zh-CN" altLang="en-US" sz="1000" kern="1200">
              <a:latin typeface="Times New Roman" pitchFamily="18" charset="0"/>
              <a:cs typeface="Times New Roman" pitchFamily="18" charset="0"/>
            </a:rPr>
            <a:t>参观著名景点、京郊农村和发展区等</a:t>
          </a:r>
          <a:endParaRPr lang="zh-CN" altLang="en-US" sz="1000" kern="1200">
            <a:latin typeface="Times New Roman" pitchFamily="18" charset="0"/>
            <a:cs typeface="Times New Roman" pitchFamily="18" charset="0"/>
          </a:endParaRPr>
        </a:p>
      </dsp:txBody>
      <dsp:txXfrm>
        <a:off x="1927374" y="932381"/>
        <a:ext cx="3105923" cy="960329"/>
      </dsp:txXfrm>
    </dsp:sp>
    <dsp:sp>
      <dsp:nvSpPr>
        <dsp:cNvPr id="5" name="圆角矩形 4"/>
        <dsp:cNvSpPr/>
      </dsp:nvSpPr>
      <dsp:spPr>
        <a:xfrm>
          <a:off x="139335" y="1069515"/>
          <a:ext cx="1797004" cy="651330"/>
        </a:xfrm>
        <a:prstGeom prst="roundRect">
          <a:avLst/>
        </a:prstGeom>
        <a:solidFill>
          <a:schemeClr val="lt1">
            <a:hueOff val="0"/>
            <a:satOff val="0"/>
            <a:lumOff val="0"/>
            <a:alphaOff val="0"/>
          </a:schemeClr>
        </a:solidFill>
        <a:ln w="38100" cap="flat" cmpd="sng" algn="ctr">
          <a:solidFill>
            <a:schemeClr val="accent2">
              <a:shade val="80000"/>
              <a:hueOff val="0"/>
              <a:satOff val="0"/>
              <a:lumOff val="0"/>
              <a:alpha val="65000"/>
            </a:schemeClr>
          </a:solidFill>
          <a:prstDash val="solid"/>
        </a:ln>
        <a:effectLst>
          <a:innerShdw blurRad="63500" dist="50800" dir="13500000">
            <a:srgbClr val="C00000">
              <a:alpha val="50000"/>
            </a:srgbClr>
          </a:innerShdw>
        </a:effectLst>
      </dsp:spPr>
      <dsp:style>
        <a:lnRef idx="3">
          <a:scrgbClr r="0" g="0" b="0"/>
        </a:lnRef>
        <a:fillRef idx="1">
          <a:scrgbClr r="0" g="0" b="0"/>
        </a:fillRef>
        <a:effectRef idx="1">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zh-CN" altLang="en-US" sz="1200" b="1" kern="1200">
              <a:latin typeface="Times New Roman" pitchFamily="18" charset="0"/>
              <a:cs typeface="Times New Roman" pitchFamily="18" charset="0"/>
            </a:rPr>
            <a:t>加深中国了解</a:t>
          </a:r>
          <a:endParaRPr lang="zh-CN" altLang="en-US" sz="1200" b="1" kern="1200">
            <a:latin typeface="Times New Roman" pitchFamily="18" charset="0"/>
            <a:cs typeface="Times New Roman" pitchFamily="18" charset="0"/>
          </a:endParaRPr>
        </a:p>
      </dsp:txBody>
      <dsp:txXfrm>
        <a:off x="139335" y="1069515"/>
        <a:ext cx="1797004" cy="651330"/>
      </dsp:txXfrm>
    </dsp:sp>
    <dsp:sp>
      <dsp:nvSpPr>
        <dsp:cNvPr id="6" name="右箭头 5"/>
        <dsp:cNvSpPr/>
      </dsp:nvSpPr>
      <dsp:spPr>
        <a:xfrm>
          <a:off x="1897232" y="1958117"/>
          <a:ext cx="3108960" cy="827727"/>
        </a:xfrm>
        <a:prstGeom prst="rightArrow">
          <a:avLst>
            <a:gd name="adj1" fmla="val 75000"/>
            <a:gd name="adj2" fmla="val 50000"/>
          </a:avLst>
        </a:prstGeom>
        <a:solidFill>
          <a:schemeClr val="lt1">
            <a:alpha val="90000"/>
            <a:tint val="40000"/>
            <a:hueOff val="0"/>
            <a:satOff val="0"/>
            <a:lumOff val="0"/>
            <a:alphaOff val="0"/>
          </a:schemeClr>
        </a:solidFill>
        <a:ln w="25400" cap="flat" cmpd="sng" algn="ctr">
          <a:solidFill>
            <a:schemeClr val="accent2">
              <a:hueOff val="0"/>
              <a:satOff val="0"/>
              <a:lumOff val="0"/>
              <a:alpha val="65000"/>
            </a:schemeClr>
          </a:solidFill>
          <a:prstDash val="solid"/>
        </a:ln>
        <a:effectLst>
          <a:innerShdw blurRad="63500" dist="50800" dir="18900000">
            <a:prstClr val="black">
              <a:alpha val="50000"/>
            </a:prstClr>
          </a:innerShdw>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zh-CN" altLang="en-US" sz="1000" kern="1200">
              <a:latin typeface="Times New Roman" pitchFamily="18" charset="0"/>
              <a:cs typeface="Times New Roman" pitchFamily="18" charset="0"/>
            </a:rPr>
            <a:t>与高水平的嘉宾和客座教授建立学术联系</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zh-CN" altLang="en-US" sz="1000" kern="1200">
              <a:latin typeface="Times New Roman" pitchFamily="18" charset="0"/>
              <a:cs typeface="Times New Roman" pitchFamily="18" charset="0"/>
            </a:rPr>
            <a:t>与校友建立联络</a:t>
          </a:r>
          <a:endParaRPr lang="zh-CN" altLang="en-US" sz="1000" kern="1200">
            <a:latin typeface="Times New Roman" pitchFamily="18" charset="0"/>
            <a:cs typeface="Times New Roman" pitchFamily="18" charset="0"/>
          </a:endParaRPr>
        </a:p>
        <a:p>
          <a:pPr marL="57150" lvl="1" indent="-57150" algn="l" defTabSz="400050">
            <a:lnSpc>
              <a:spcPct val="90000"/>
            </a:lnSpc>
            <a:spcBef>
              <a:spcPct val="0"/>
            </a:spcBef>
            <a:spcAft>
              <a:spcPct val="15000"/>
            </a:spcAft>
            <a:buChar char="•"/>
          </a:pPr>
          <a:endParaRPr lang="zh-CN" altLang="en-US" sz="900" kern="1200">
            <a:latin typeface="Times New Roman" pitchFamily="18" charset="0"/>
            <a:cs typeface="Times New Roman" pitchFamily="18" charset="0"/>
          </a:endParaRPr>
        </a:p>
      </dsp:txBody>
      <dsp:txXfrm>
        <a:off x="1897232" y="1958117"/>
        <a:ext cx="3108960" cy="827727"/>
      </dsp:txXfrm>
    </dsp:sp>
    <dsp:sp>
      <dsp:nvSpPr>
        <dsp:cNvPr id="7" name="圆角矩形 6"/>
        <dsp:cNvSpPr/>
      </dsp:nvSpPr>
      <dsp:spPr>
        <a:xfrm>
          <a:off x="175407" y="2065043"/>
          <a:ext cx="1721824" cy="613875"/>
        </a:xfrm>
        <a:prstGeom prst="roundRect">
          <a:avLst/>
        </a:prstGeom>
        <a:solidFill>
          <a:schemeClr val="lt1">
            <a:hueOff val="0"/>
            <a:satOff val="0"/>
            <a:lumOff val="0"/>
            <a:alphaOff val="0"/>
          </a:schemeClr>
        </a:solidFill>
        <a:ln w="38100" cap="flat" cmpd="sng" algn="ctr">
          <a:solidFill>
            <a:schemeClr val="accent2">
              <a:shade val="80000"/>
              <a:hueOff val="0"/>
              <a:satOff val="0"/>
              <a:lumOff val="0"/>
              <a:alpha val="65000"/>
            </a:schemeClr>
          </a:solidFill>
          <a:prstDash val="solid"/>
        </a:ln>
        <a:effectLst>
          <a:innerShdw blurRad="63500" dist="50800" dir="13500000">
            <a:srgbClr val="C00000">
              <a:alpha val="50000"/>
            </a:srgbClr>
          </a:innerShdw>
        </a:effectLst>
      </dsp:spPr>
      <dsp:style>
        <a:lnRef idx="3">
          <a:scrgbClr r="0" g="0" b="0"/>
        </a:lnRef>
        <a:fillRef idx="1">
          <a:scrgbClr r="0" g="0" b="0"/>
        </a:fillRef>
        <a:effectRef idx="1">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zh-CN" altLang="en-US" sz="1200" b="1" kern="1200">
              <a:latin typeface="Times New Roman" pitchFamily="18" charset="0"/>
              <a:cs typeface="Times New Roman" pitchFamily="18" charset="0"/>
            </a:rPr>
            <a:t>扩大社交网络</a:t>
          </a:r>
          <a:endParaRPr lang="zh-CN" altLang="en-US" sz="1200" b="1" kern="1200">
            <a:latin typeface="Times New Roman" pitchFamily="18" charset="0"/>
            <a:cs typeface="Times New Roman" pitchFamily="18" charset="0"/>
          </a:endParaRPr>
        </a:p>
      </dsp:txBody>
      <dsp:txXfrm>
        <a:off x="175407" y="2065043"/>
        <a:ext cx="1721824" cy="613875"/>
      </dsp:txXfrm>
    </dsp:sp>
  </dsp:spTree>
</dsp:drawing>
</file>

<file path=word/diagrams/drawing2.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1" name=""/>
      <dsp:cNvGrpSpPr/>
    </dsp:nvGrpSpPr>
    <dsp:grpSpPr>
      <a:xfrm>
        <a:off x="0" y="0"/>
        <a:ext cx="5276850" cy="2796540"/>
        <a:chOff x="0" y="0"/>
        <a:chExt cx="0" cy="0"/>
      </a:xfrm>
    </dsp:grpSpPr>
    <dsp:sp>
      <dsp:nvSpPr>
        <dsp:cNvPr id="2" name="右箭头 1"/>
        <dsp:cNvSpPr/>
      </dsp:nvSpPr>
      <dsp:spPr>
        <a:xfrm>
          <a:off x="1951358" y="954"/>
          <a:ext cx="3166110" cy="675378"/>
        </a:xfrm>
        <a:prstGeom prst="rightArrow">
          <a:avLst>
            <a:gd name="adj1" fmla="val 75000"/>
            <a:gd name="adj2" fmla="val 50000"/>
          </a:avLst>
        </a:prstGeom>
        <a:solidFill>
          <a:schemeClr val="lt1">
            <a:alpha val="90000"/>
            <a:tint val="40000"/>
            <a:hueOff val="0"/>
            <a:satOff val="0"/>
            <a:lumOff val="0"/>
            <a:alphaOff val="0"/>
          </a:schemeClr>
        </a:solidFill>
        <a:ln w="25400" cap="flat" cmpd="sng" algn="ctr">
          <a:solidFill>
            <a:schemeClr val="accent2">
              <a:hueOff val="0"/>
              <a:satOff val="0"/>
              <a:lumOff val="0"/>
              <a:alpha val="65000"/>
            </a:schemeClr>
          </a:solidFill>
          <a:prstDash val="solid"/>
        </a:ln>
        <a:effectLst>
          <a:innerShdw blurRad="63500" dist="50800" dir="18900000">
            <a:prstClr val="black">
              <a:alpha val="50000"/>
            </a:prstClr>
          </a:innerShdw>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en-US" sz="1000" kern="1200">
              <a:latin typeface="Times New Roman" pitchFamily="18" charset="0"/>
              <a:ea typeface="Verdana" pitchFamily="34" charset="0"/>
              <a:cs typeface="Times New Roman" pitchFamily="18" charset="0"/>
            </a:rPr>
            <a:t>Well-designed academic coursework</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en-US" altLang="zh-CN" sz="1000" kern="1200">
              <a:latin typeface="Times New Roman" pitchFamily="18" charset="0"/>
              <a:ea typeface="Verdana" pitchFamily="34" charset="0"/>
              <a:cs typeface="Times New Roman" pitchFamily="18" charset="0"/>
            </a:rPr>
            <a:t>Free interaction with renowned professors and practioners</a:t>
          </a:r>
          <a:endParaRPr lang="zh-CN" altLang="en-US" sz="1000" kern="1200">
            <a:latin typeface="Times New Roman" pitchFamily="18" charset="0"/>
            <a:cs typeface="Times New Roman" pitchFamily="18" charset="0"/>
          </a:endParaRPr>
        </a:p>
      </dsp:txBody>
      <dsp:txXfrm>
        <a:off x="1951358" y="954"/>
        <a:ext cx="3166110" cy="675378"/>
      </dsp:txXfrm>
    </dsp:sp>
    <dsp:sp>
      <dsp:nvSpPr>
        <dsp:cNvPr id="3" name="圆角矩形 2"/>
        <dsp:cNvSpPr/>
      </dsp:nvSpPr>
      <dsp:spPr>
        <a:xfrm>
          <a:off x="159381" y="59854"/>
          <a:ext cx="1791976" cy="557578"/>
        </a:xfrm>
        <a:prstGeom prst="roundRect">
          <a:avLst/>
        </a:prstGeom>
        <a:solidFill>
          <a:schemeClr val="lt1">
            <a:hueOff val="0"/>
            <a:satOff val="0"/>
            <a:lumOff val="0"/>
            <a:alphaOff val="0"/>
          </a:schemeClr>
        </a:solidFill>
        <a:ln w="38100" cap="flat" cmpd="sng" algn="ctr">
          <a:solidFill>
            <a:schemeClr val="accent2">
              <a:shade val="80000"/>
              <a:hueOff val="0"/>
              <a:satOff val="0"/>
              <a:lumOff val="0"/>
              <a:alpha val="65000"/>
            </a:schemeClr>
          </a:solidFill>
          <a:prstDash val="solid"/>
        </a:ln>
        <a:effectLst>
          <a:innerShdw blurRad="63500" dist="50800" dir="13500000">
            <a:srgbClr val="C00000">
              <a:alpha val="50000"/>
            </a:srgbClr>
          </a:innerShdw>
        </a:effectLst>
      </dsp:spPr>
      <dsp:style>
        <a:lnRef idx="3">
          <a:scrgbClr r="0" g="0" b="0"/>
        </a:lnRef>
        <a:fillRef idx="1">
          <a:scrgbClr r="0" g="0" b="0"/>
        </a:fillRef>
        <a:effectRef idx="1">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en-US" altLang="zh-CN" sz="1200" b="1" kern="1200">
              <a:latin typeface="Times New Roman" pitchFamily="18" charset="0"/>
              <a:ea typeface="Verdana" pitchFamily="34" charset="0"/>
              <a:cs typeface="Times New Roman" pitchFamily="18" charset="0"/>
            </a:rPr>
            <a:t>Improve </a:t>
          </a:r>
          <a:r>
            <a:rPr lang="en-US" sz="1200" b="1" kern="1200">
              <a:latin typeface="Times New Roman" pitchFamily="18" charset="0"/>
              <a:ea typeface="Verdana" pitchFamily="34" charset="0"/>
              <a:cs typeface="Times New Roman" pitchFamily="18" charset="0"/>
            </a:rPr>
            <a:t>Public Administration Capability</a:t>
          </a:r>
          <a:r>
            <a:rPr lang="en-US" altLang="zh-CN" sz="1200" b="1" kern="1200">
              <a:latin typeface="Times New Roman" pitchFamily="18" charset="0"/>
              <a:ea typeface="Verdana" pitchFamily="34" charset="0"/>
              <a:cs typeface="Times New Roman" pitchFamily="18" charset="0"/>
            </a:rPr>
            <a:t> </a:t>
          </a:r>
          <a:endParaRPr lang="zh-CN" altLang="en-US" sz="1200" b="1" kern="1200">
            <a:latin typeface="Times New Roman" pitchFamily="18" charset="0"/>
            <a:cs typeface="Times New Roman" pitchFamily="18" charset="0"/>
          </a:endParaRPr>
        </a:p>
      </dsp:txBody>
      <dsp:txXfrm>
        <a:off x="159381" y="59854"/>
        <a:ext cx="1791976" cy="557578"/>
      </dsp:txXfrm>
    </dsp:sp>
    <dsp:sp>
      <dsp:nvSpPr>
        <dsp:cNvPr id="4" name="右箭头 3"/>
        <dsp:cNvSpPr/>
      </dsp:nvSpPr>
      <dsp:spPr>
        <a:xfrm>
          <a:off x="1924041" y="758040"/>
          <a:ext cx="3240543" cy="1112071"/>
        </a:xfrm>
        <a:prstGeom prst="rightArrow">
          <a:avLst>
            <a:gd name="adj1" fmla="val 75000"/>
            <a:gd name="adj2" fmla="val 50000"/>
          </a:avLst>
        </a:prstGeom>
        <a:solidFill>
          <a:schemeClr val="lt1">
            <a:alpha val="90000"/>
            <a:tint val="40000"/>
            <a:hueOff val="0"/>
            <a:satOff val="0"/>
            <a:lumOff val="0"/>
            <a:alphaOff val="0"/>
          </a:schemeClr>
        </a:solidFill>
        <a:ln w="25400" cap="flat" cmpd="sng" algn="ctr">
          <a:solidFill>
            <a:schemeClr val="accent2">
              <a:hueOff val="0"/>
              <a:satOff val="0"/>
              <a:lumOff val="0"/>
              <a:alpha val="65000"/>
            </a:schemeClr>
          </a:solidFill>
          <a:prstDash val="solid"/>
        </a:ln>
        <a:effectLst>
          <a:innerShdw blurRad="63500" dist="50800" dir="18900000">
            <a:prstClr val="black">
              <a:alpha val="50000"/>
            </a:prstClr>
          </a:innerShdw>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US" altLang="zh-CN" sz="1000" kern="1200">
              <a:latin typeface="Times New Roman" pitchFamily="18" charset="0"/>
              <a:ea typeface="Verdana" pitchFamily="34" charset="0"/>
              <a:cs typeface="Times New Roman" pitchFamily="18" charset="0"/>
            </a:rPr>
            <a:t>Selective courses on China's society, culture, laws, diplomatic policies, etc.</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en-US" altLang="zh-CN" sz="1000" kern="1200">
              <a:latin typeface="Times New Roman" pitchFamily="18" charset="0"/>
              <a:ea typeface="Verdana" pitchFamily="34" charset="0"/>
              <a:cs typeface="Times New Roman" pitchFamily="18" charset="0"/>
            </a:rPr>
            <a:t>One-week field trip to a well-developed city in China</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en-US" altLang="zh-CN" sz="1000" kern="1200">
              <a:latin typeface="Times New Roman" pitchFamily="18" charset="0"/>
              <a:ea typeface="Verdana" pitchFamily="34" charset="0"/>
              <a:cs typeface="Times New Roman" pitchFamily="18" charset="0"/>
            </a:rPr>
            <a:t>Short trips to historic attractions and develoment models near Beijing</a:t>
          </a:r>
          <a:r>
            <a:rPr lang="en-US" altLang="zh-CN" sz="800" kern="1200">
              <a:latin typeface="Times New Roman" pitchFamily="18" charset="0"/>
              <a:ea typeface="Verdana" pitchFamily="34" charset="0"/>
              <a:cs typeface="Times New Roman" pitchFamily="18" charset="0"/>
            </a:rPr>
            <a:t> </a:t>
          </a:r>
          <a:endParaRPr lang="zh-CN" altLang="en-US" sz="800" kern="1200">
            <a:latin typeface="Times New Roman" pitchFamily="18" charset="0"/>
            <a:cs typeface="Times New Roman" pitchFamily="18" charset="0"/>
          </a:endParaRPr>
        </a:p>
      </dsp:txBody>
      <dsp:txXfrm>
        <a:off x="1924041" y="758040"/>
        <a:ext cx="3240543" cy="1112071"/>
      </dsp:txXfrm>
    </dsp:sp>
    <dsp:sp>
      <dsp:nvSpPr>
        <dsp:cNvPr id="5" name="圆角矩形 4"/>
        <dsp:cNvSpPr/>
      </dsp:nvSpPr>
      <dsp:spPr>
        <a:xfrm>
          <a:off x="103134" y="1034182"/>
          <a:ext cx="1830037" cy="531448"/>
        </a:xfrm>
        <a:prstGeom prst="roundRect">
          <a:avLst/>
        </a:prstGeom>
        <a:solidFill>
          <a:schemeClr val="lt1">
            <a:hueOff val="0"/>
            <a:satOff val="0"/>
            <a:lumOff val="0"/>
            <a:alphaOff val="0"/>
          </a:schemeClr>
        </a:solidFill>
        <a:ln w="38100" cap="flat" cmpd="sng" algn="ctr">
          <a:solidFill>
            <a:schemeClr val="accent2">
              <a:shade val="80000"/>
              <a:hueOff val="0"/>
              <a:satOff val="0"/>
              <a:lumOff val="0"/>
              <a:alpha val="65000"/>
            </a:schemeClr>
          </a:solidFill>
          <a:prstDash val="solid"/>
        </a:ln>
        <a:effectLst>
          <a:innerShdw blurRad="63500" dist="50800" dir="13500000">
            <a:srgbClr val="C00000">
              <a:alpha val="50000"/>
            </a:srgbClr>
          </a:innerShdw>
        </a:effectLst>
      </dsp:spPr>
      <dsp:style>
        <a:lnRef idx="3">
          <a:scrgbClr r="0" g="0" b="0"/>
        </a:lnRef>
        <a:fillRef idx="1">
          <a:scrgbClr r="0" g="0" b="0"/>
        </a:fillRef>
        <a:effectRef idx="1">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en-US" altLang="zh-CN" sz="1200" b="1" kern="1200">
              <a:latin typeface="Times New Roman" pitchFamily="18" charset="0"/>
              <a:ea typeface="Verdana" pitchFamily="34" charset="0"/>
              <a:cs typeface="Times New Roman" pitchFamily="18" charset="0"/>
            </a:rPr>
            <a:t>Enhance Knowledge on China</a:t>
          </a:r>
          <a:endParaRPr lang="zh-CN" altLang="en-US" sz="1200" b="1" kern="1200">
            <a:latin typeface="Times New Roman" pitchFamily="18" charset="0"/>
            <a:cs typeface="Times New Roman" pitchFamily="18" charset="0"/>
          </a:endParaRPr>
        </a:p>
      </dsp:txBody>
      <dsp:txXfrm>
        <a:off x="103134" y="1034182"/>
        <a:ext cx="1830037" cy="531448"/>
      </dsp:txXfrm>
    </dsp:sp>
    <dsp:sp>
      <dsp:nvSpPr>
        <dsp:cNvPr id="6" name="右箭头 5"/>
        <dsp:cNvSpPr/>
      </dsp:nvSpPr>
      <dsp:spPr>
        <a:xfrm>
          <a:off x="1886032" y="1923479"/>
          <a:ext cx="3256548" cy="872683"/>
        </a:xfrm>
        <a:prstGeom prst="rightArrow">
          <a:avLst>
            <a:gd name="adj1" fmla="val 75000"/>
            <a:gd name="adj2" fmla="val 50000"/>
          </a:avLst>
        </a:prstGeom>
        <a:solidFill>
          <a:schemeClr val="lt1">
            <a:alpha val="90000"/>
            <a:tint val="40000"/>
            <a:hueOff val="0"/>
            <a:satOff val="0"/>
            <a:lumOff val="0"/>
            <a:alphaOff val="0"/>
          </a:schemeClr>
        </a:solidFill>
        <a:ln w="25400" cap="flat" cmpd="sng" algn="ctr">
          <a:solidFill>
            <a:schemeClr val="accent2">
              <a:hueOff val="0"/>
              <a:satOff val="0"/>
              <a:lumOff val="0"/>
              <a:alpha val="65000"/>
            </a:schemeClr>
          </a:solidFill>
          <a:prstDash val="solid"/>
        </a:ln>
        <a:effectLst>
          <a:innerShdw blurRad="63500" dist="50800" dir="18900000">
            <a:prstClr val="black">
              <a:alpha val="50000"/>
            </a:prstClr>
          </a:innerShdw>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en-US" altLang="zh-CN" sz="1000" kern="1200">
              <a:latin typeface="Times New Roman" pitchFamily="18" charset="0"/>
              <a:ea typeface="Verdana" pitchFamily="34" charset="0"/>
              <a:cs typeface="Times New Roman" pitchFamily="18" charset="0"/>
            </a:rPr>
            <a:t>Connection buit upon high-calibre lecturer and seminars</a:t>
          </a:r>
          <a:endParaRPr lang="zh-CN" altLang="en-US" sz="1000" kern="1200">
            <a:latin typeface="Times New Roman" pitchFamily="18" charset="0"/>
            <a:cs typeface="Times New Roman" pitchFamily="18" charset="0"/>
          </a:endParaRPr>
        </a:p>
        <a:p>
          <a:pPr marL="57150" lvl="1" indent="-57150" algn="l" defTabSz="444500">
            <a:lnSpc>
              <a:spcPct val="90000"/>
            </a:lnSpc>
            <a:spcBef>
              <a:spcPct val="0"/>
            </a:spcBef>
            <a:spcAft>
              <a:spcPct val="15000"/>
            </a:spcAft>
            <a:buChar char="•"/>
          </a:pPr>
          <a:r>
            <a:rPr lang="en-US" altLang="zh-CN" sz="1000" kern="1200">
              <a:latin typeface="Times New Roman" pitchFamily="18" charset="0"/>
              <a:ea typeface="Verdana" pitchFamily="34" charset="0"/>
              <a:cs typeface="Times New Roman" pitchFamily="18" charset="0"/>
            </a:rPr>
            <a:t>Regular communication with alumni and classmates via platform, e.g. Yahoo Groups, Google Groups</a:t>
          </a:r>
          <a:endParaRPr lang="zh-CN" altLang="en-US" sz="1000" kern="1200">
            <a:latin typeface="Times New Roman" pitchFamily="18" charset="0"/>
            <a:cs typeface="Times New Roman" pitchFamily="18" charset="0"/>
          </a:endParaRPr>
        </a:p>
        <a:p>
          <a:pPr marL="57150" lvl="1" indent="-57150" algn="l" defTabSz="400050">
            <a:lnSpc>
              <a:spcPct val="90000"/>
            </a:lnSpc>
            <a:spcBef>
              <a:spcPct val="0"/>
            </a:spcBef>
            <a:spcAft>
              <a:spcPct val="15000"/>
            </a:spcAft>
            <a:buChar char="•"/>
          </a:pPr>
          <a:endParaRPr lang="zh-CN" altLang="en-US" sz="900" kern="1200">
            <a:latin typeface="Times New Roman" pitchFamily="18" charset="0"/>
            <a:cs typeface="Times New Roman" pitchFamily="18" charset="0"/>
          </a:endParaRPr>
        </a:p>
      </dsp:txBody>
      <dsp:txXfrm>
        <a:off x="1886032" y="1923479"/>
        <a:ext cx="3256548" cy="872683"/>
      </dsp:txXfrm>
    </dsp:sp>
    <dsp:sp>
      <dsp:nvSpPr>
        <dsp:cNvPr id="7" name="圆角矩形 6"/>
        <dsp:cNvSpPr/>
      </dsp:nvSpPr>
      <dsp:spPr>
        <a:xfrm>
          <a:off x="134268" y="2109377"/>
          <a:ext cx="1751763" cy="500887"/>
        </a:xfrm>
        <a:prstGeom prst="roundRect">
          <a:avLst/>
        </a:prstGeom>
        <a:solidFill>
          <a:schemeClr val="lt1">
            <a:hueOff val="0"/>
            <a:satOff val="0"/>
            <a:lumOff val="0"/>
            <a:alphaOff val="0"/>
          </a:schemeClr>
        </a:solidFill>
        <a:ln w="38100" cap="flat" cmpd="sng" algn="ctr">
          <a:solidFill>
            <a:schemeClr val="accent2">
              <a:shade val="80000"/>
              <a:hueOff val="0"/>
              <a:satOff val="0"/>
              <a:lumOff val="0"/>
              <a:alpha val="65000"/>
            </a:schemeClr>
          </a:solidFill>
          <a:prstDash val="solid"/>
        </a:ln>
        <a:effectLst>
          <a:innerShdw blurRad="63500" dist="50800" dir="13500000">
            <a:srgbClr val="C00000">
              <a:alpha val="50000"/>
            </a:srgbClr>
          </a:innerShdw>
        </a:effectLst>
      </dsp:spPr>
      <dsp:style>
        <a:lnRef idx="3">
          <a:scrgbClr r="0" g="0" b="0"/>
        </a:lnRef>
        <a:fillRef idx="1">
          <a:scrgbClr r="0" g="0" b="0"/>
        </a:fillRef>
        <a:effectRef idx="1">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en-US" altLang="zh-CN" sz="1200" b="1" kern="1200">
              <a:latin typeface="Times New Roman" pitchFamily="18" charset="0"/>
              <a:ea typeface="Verdana" pitchFamily="34" charset="0"/>
              <a:cs typeface="Times New Roman" pitchFamily="18" charset="0"/>
            </a:rPr>
            <a:t>Expand Professional Network</a:t>
          </a:r>
          <a:endParaRPr lang="zh-CN" altLang="en-US" sz="1200" b="1" kern="1200">
            <a:latin typeface="Times New Roman" pitchFamily="18" charset="0"/>
            <a:cs typeface="Times New Roman" pitchFamily="18" charset="0"/>
          </a:endParaRPr>
        </a:p>
      </dsp:txBody>
      <dsp:txXfrm>
        <a:off x="134268" y="2109377"/>
        <a:ext cx="1751763" cy="500887"/>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F02502-A00E-40F7-8C5A-45F7F7308CA0}">
  <ds:schemaRefs/>
</ds:datastoreItem>
</file>

<file path=docProps/app.xml><?xml version="1.0" encoding="utf-8"?>
<Properties xmlns="http://schemas.openxmlformats.org/officeDocument/2006/extended-properties" xmlns:vt="http://schemas.openxmlformats.org/officeDocument/2006/docPropsVTypes">
  <Template>Normal.dotm</Template>
  <Company>tsinghua</Company>
  <Pages>26</Pages>
  <Words>5083</Words>
  <Characters>28975</Characters>
  <Lines>241</Lines>
  <Paragraphs>67</Paragraphs>
  <ScaleCrop>false</ScaleCrop>
  <LinksUpToDate>false</LinksUpToDate>
  <CharactersWithSpaces>33991</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2015-09-17T02:28:00Z</dcterms:created>
  <dc:creator>雨林木风</dc:creator>
  <cp:lastModifiedBy>PC</cp:lastModifiedBy>
  <cp:lastPrinted>2016-02-25T06:48:43Z</cp:lastPrinted>
  <dcterms:modified xsi:type="dcterms:W3CDTF">2016-02-25T06:48:57Z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